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72D" w:rsidRPr="00D56177" w:rsidRDefault="0017272D" w:rsidP="0017272D">
      <w:pPr>
        <w:pStyle w:val="Heading1"/>
        <w:spacing w:after="0"/>
        <w:rPr>
          <w:rFonts w:asciiTheme="majorHAnsi" w:hAnsiTheme="majorHAnsi" w:cstheme="majorHAnsi"/>
          <w:b w:val="0"/>
          <w:sz w:val="20"/>
          <w:szCs w:val="22"/>
        </w:rPr>
      </w:pPr>
      <w:bookmarkStart w:id="0" w:name="_Toc143586611"/>
      <w:r w:rsidRPr="00D56177">
        <w:rPr>
          <w:rFonts w:asciiTheme="majorHAnsi" w:hAnsiTheme="majorHAnsi" w:cstheme="majorHAnsi"/>
          <w:b w:val="0"/>
          <w:sz w:val="20"/>
          <w:szCs w:val="22"/>
        </w:rPr>
        <w:t>POSITION DESCRIPTION</w:t>
      </w:r>
    </w:p>
    <w:p w:rsidR="002C56C7" w:rsidRPr="005004A8" w:rsidRDefault="002C56C7" w:rsidP="002C56C7">
      <w:pPr>
        <w:keepNext/>
        <w:keepLines/>
        <w:pBdr>
          <w:bottom w:val="single" w:sz="4" w:space="1" w:color="003055" w:themeColor="text1"/>
        </w:pBdr>
        <w:tabs>
          <w:tab w:val="left" w:pos="4016"/>
        </w:tabs>
        <w:spacing w:before="120" w:after="120"/>
        <w:outlineLvl w:val="0"/>
        <w:rPr>
          <w:rFonts w:ascii="Arial" w:eastAsiaTheme="majorEastAsia" w:hAnsi="Arial" w:cstheme="majorBidi"/>
          <w:b/>
          <w:bCs/>
          <w:caps/>
          <w:sz w:val="26"/>
          <w:szCs w:val="24"/>
        </w:rPr>
      </w:pPr>
      <w:bookmarkStart w:id="1" w:name="_Toc465846375"/>
      <w:r w:rsidRPr="005004A8">
        <w:rPr>
          <w:rFonts w:ascii="Arial" w:eastAsiaTheme="majorEastAsia" w:hAnsi="Arial" w:cstheme="majorBidi"/>
          <w:b/>
          <w:bCs/>
          <w:caps/>
          <w:sz w:val="26"/>
          <w:szCs w:val="24"/>
        </w:rPr>
        <w:t>Chief Financial Officer, Department of Energy</w:t>
      </w:r>
      <w:bookmarkEnd w:id="1"/>
    </w:p>
    <w:p w:rsidR="00661AE5" w:rsidRPr="00D56177" w:rsidRDefault="00661AE5" w:rsidP="00661AE5">
      <w:pPr>
        <w:rPr>
          <w:rFonts w:asciiTheme="majorHAnsi" w:hAnsiTheme="majorHAnsi" w:cstheme="majorHAnsi"/>
        </w:rPr>
      </w:pPr>
    </w:p>
    <w:tbl>
      <w:tblPr>
        <w:tblStyle w:val="TableGrid"/>
        <w:tblW w:w="0" w:type="auto"/>
        <w:tblInd w:w="108" w:type="dxa"/>
        <w:tblCellMar>
          <w:top w:w="58" w:type="dxa"/>
          <w:left w:w="115" w:type="dxa"/>
          <w:bottom w:w="58" w:type="dxa"/>
          <w:right w:w="115" w:type="dxa"/>
        </w:tblCellMar>
        <w:tblLook w:val="04A0" w:firstRow="1" w:lastRow="0" w:firstColumn="1" w:lastColumn="0" w:noHBand="0" w:noVBand="1"/>
      </w:tblPr>
      <w:tblGrid>
        <w:gridCol w:w="2671"/>
        <w:gridCol w:w="6791"/>
      </w:tblGrid>
      <w:tr w:rsidR="00B64A22" w:rsidRPr="00F45A4E" w:rsidTr="00BE379B">
        <w:tc>
          <w:tcPr>
            <w:tcW w:w="9462" w:type="dxa"/>
            <w:gridSpan w:val="2"/>
            <w:tcBorders>
              <w:top w:val="single" w:sz="2" w:space="0" w:color="auto"/>
              <w:left w:val="single" w:sz="2" w:space="0" w:color="auto"/>
              <w:bottom w:val="single" w:sz="2" w:space="0" w:color="auto"/>
              <w:right w:val="single" w:sz="2" w:space="0" w:color="auto"/>
            </w:tcBorders>
            <w:shd w:val="clear" w:color="auto" w:fill="003055" w:themeFill="text1"/>
          </w:tcPr>
          <w:p w:rsidR="00B64A22" w:rsidRPr="00F45A4E" w:rsidRDefault="00B64A22" w:rsidP="00B64A22">
            <w:pPr>
              <w:jc w:val="center"/>
              <w:rPr>
                <w:rFonts w:asciiTheme="majorHAnsi" w:hAnsiTheme="majorHAnsi" w:cstheme="majorHAnsi"/>
                <w:b/>
              </w:rPr>
            </w:pPr>
            <w:r w:rsidRPr="00F45A4E">
              <w:rPr>
                <w:rFonts w:asciiTheme="majorHAnsi" w:hAnsiTheme="majorHAnsi" w:cstheme="majorHAnsi"/>
                <w:b/>
              </w:rPr>
              <w:t>OVERVIEW</w:t>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Senate Committee</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 xml:space="preserve">Energy and Natural Resources </w:t>
            </w:r>
          </w:p>
          <w:p w:rsidR="00F45A4E" w:rsidRPr="00F45A4E" w:rsidRDefault="00F45A4E" w:rsidP="002C56C7">
            <w:pPr>
              <w:contextualSpacing/>
              <w:rPr>
                <w:rFonts w:asciiTheme="majorHAnsi" w:hAnsiTheme="majorHAnsi" w:cstheme="majorHAnsi"/>
              </w:rPr>
            </w:pPr>
          </w:p>
          <w:p w:rsidR="00F45A4E" w:rsidRPr="00F45A4E" w:rsidRDefault="00F45A4E" w:rsidP="002C56C7">
            <w:pPr>
              <w:rPr>
                <w:rFonts w:asciiTheme="majorHAnsi" w:hAnsiTheme="majorHAnsi" w:cstheme="majorHAnsi"/>
              </w:rPr>
            </w:pPr>
            <w:r w:rsidRPr="00F45A4E">
              <w:rPr>
                <w:rFonts w:asciiTheme="majorHAnsi" w:hAnsiTheme="majorHAnsi" w:cstheme="majorHAnsi"/>
              </w:rPr>
              <w:t>This CFO is covered by the CFO Act of 1990 that may be filled through appointment by the president, with the advice and consent of the Senate, or through designation by the president from among agency officials who have been confirmed by the Senate for other positions.</w:t>
            </w:r>
            <w:r w:rsidRPr="00F45A4E">
              <w:rPr>
                <w:rStyle w:val="EndnoteReference"/>
                <w:rFonts w:asciiTheme="majorHAnsi" w:hAnsiTheme="majorHAnsi" w:cstheme="majorHAnsi"/>
              </w:rPr>
              <w:endnoteReference w:id="1"/>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Agency Mission</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2C56C7" w:rsidP="002C56C7">
            <w:pPr>
              <w:contextualSpacing/>
              <w:rPr>
                <w:rFonts w:asciiTheme="majorHAnsi" w:hAnsiTheme="majorHAnsi" w:cstheme="majorHAnsi"/>
                <w:bCs/>
                <w:lang w:val="en"/>
              </w:rPr>
            </w:pPr>
            <w:r w:rsidRPr="00F45A4E">
              <w:rPr>
                <w:rFonts w:asciiTheme="majorHAnsi" w:hAnsiTheme="majorHAnsi" w:cstheme="majorHAnsi"/>
                <w:bCs/>
                <w:lang w:val="en"/>
              </w:rPr>
              <w:t>To ensure America's security and prosperity by addressing its energy, environmental and nuclear challenges through transformative science and technology solutions.</w:t>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Position Overview</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2C56C7" w:rsidP="002C56C7">
            <w:pPr>
              <w:contextualSpacing/>
              <w:rPr>
                <w:rFonts w:asciiTheme="majorHAnsi" w:hAnsiTheme="majorHAnsi" w:cstheme="majorHAnsi"/>
                <w:bCs/>
              </w:rPr>
            </w:pPr>
            <w:r w:rsidRPr="00F45A4E">
              <w:rPr>
                <w:rFonts w:asciiTheme="majorHAnsi" w:hAnsiTheme="majorHAnsi" w:cstheme="majorHAnsi"/>
                <w:bCs/>
                <w:lang w:val="en"/>
              </w:rPr>
              <w:t>The mission of the Office of the Chief Financial Officer is to assure the effective management and financial integrity of Department of Energy programs, activities and resources by developing, implementing and monitoring department-wide policies and systems in the areas of budget administration, program analysis and evaluation, finance and accounting, internal controls, corporate financial systems and strategic planning. CFOs also play a crucial government-wide role.</w:t>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contextualSpacing/>
              <w:rPr>
                <w:rFonts w:asciiTheme="majorHAnsi" w:hAnsiTheme="majorHAnsi" w:cstheme="majorHAnsi"/>
                <w:i/>
              </w:rPr>
            </w:pPr>
            <w:r w:rsidRPr="00F45A4E">
              <w:rPr>
                <w:rFonts w:asciiTheme="majorHAnsi" w:hAnsiTheme="majorHAnsi" w:cstheme="majorHAnsi"/>
              </w:rPr>
              <w:t>Compensation</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A07798" w:rsidP="00F1651D">
            <w:pPr>
              <w:contextualSpacing/>
              <w:rPr>
                <w:rFonts w:asciiTheme="majorHAnsi" w:hAnsiTheme="majorHAnsi" w:cstheme="majorHAnsi"/>
                <w:bCs/>
              </w:rPr>
            </w:pPr>
            <w:r w:rsidRPr="00F45A4E">
              <w:rPr>
                <w:rFonts w:asciiTheme="majorHAnsi" w:hAnsiTheme="majorHAnsi" w:cstheme="majorHAnsi"/>
                <w:bCs/>
              </w:rPr>
              <w:t>Level IV $</w:t>
            </w:r>
            <w:r w:rsidR="00F1651D">
              <w:rPr>
                <w:rFonts w:asciiTheme="majorHAnsi" w:hAnsiTheme="majorHAnsi" w:cstheme="majorHAnsi"/>
                <w:bCs/>
              </w:rPr>
              <w:t>155,500</w:t>
            </w:r>
            <w:r w:rsidR="002C56C7" w:rsidRPr="00F45A4E">
              <w:rPr>
                <w:rFonts w:asciiTheme="majorHAnsi" w:hAnsiTheme="majorHAnsi" w:cstheme="majorHAnsi"/>
                <w:bCs/>
                <w:vertAlign w:val="superscript"/>
              </w:rPr>
              <w:t xml:space="preserve"> </w:t>
            </w:r>
            <w:r w:rsidR="002C56C7" w:rsidRPr="00F45A4E">
              <w:rPr>
                <w:rFonts w:asciiTheme="majorHAnsi" w:hAnsiTheme="majorHAnsi" w:cstheme="majorHAnsi"/>
                <w:bCs/>
              </w:rPr>
              <w:t>(5 U.S.C. § 5315)</w:t>
            </w:r>
            <w:r w:rsidR="00516965" w:rsidRPr="00F45A4E">
              <w:rPr>
                <w:rStyle w:val="EndnoteReference"/>
                <w:rFonts w:asciiTheme="majorHAnsi" w:hAnsiTheme="majorHAnsi" w:cstheme="majorHAnsi"/>
                <w:bCs/>
              </w:rPr>
              <w:endnoteReference w:id="2"/>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Position Reports to</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 xml:space="preserve">Secretary of energy and deputy secretary of energy </w:t>
            </w:r>
          </w:p>
        </w:tc>
      </w:tr>
      <w:tr w:rsidR="00661AE5" w:rsidRPr="00F45A4E" w:rsidTr="00BE379B">
        <w:tc>
          <w:tcPr>
            <w:tcW w:w="9462" w:type="dxa"/>
            <w:gridSpan w:val="2"/>
            <w:tcBorders>
              <w:top w:val="single" w:sz="2" w:space="0" w:color="auto"/>
              <w:left w:val="single" w:sz="2" w:space="0" w:color="auto"/>
              <w:bottom w:val="single" w:sz="2" w:space="0" w:color="auto"/>
              <w:right w:val="single" w:sz="2" w:space="0" w:color="auto"/>
            </w:tcBorders>
            <w:shd w:val="clear" w:color="auto" w:fill="003055" w:themeFill="text1"/>
          </w:tcPr>
          <w:p w:rsidR="00661AE5" w:rsidRPr="00F45A4E" w:rsidRDefault="00661AE5" w:rsidP="00B64A22">
            <w:pPr>
              <w:jc w:val="center"/>
              <w:rPr>
                <w:rFonts w:asciiTheme="majorHAnsi" w:hAnsiTheme="majorHAnsi" w:cstheme="majorHAnsi"/>
                <w:b/>
              </w:rPr>
            </w:pPr>
            <w:r w:rsidRPr="00F45A4E">
              <w:rPr>
                <w:rFonts w:asciiTheme="majorHAnsi" w:hAnsiTheme="majorHAnsi" w:cstheme="majorHAnsi"/>
                <w:b/>
              </w:rPr>
              <w:t>RESPONSIBILITIES</w:t>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rPr>
                <w:rFonts w:asciiTheme="majorHAnsi" w:hAnsiTheme="majorHAnsi" w:cstheme="majorHAnsi"/>
              </w:rPr>
            </w:pPr>
            <w:r w:rsidRPr="00F45A4E">
              <w:rPr>
                <w:rFonts w:asciiTheme="majorHAnsi" w:hAnsiTheme="majorHAnsi" w:cstheme="majorHAnsi"/>
              </w:rPr>
              <w:t>Management Scope</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516965" w:rsidP="002C56C7">
            <w:pPr>
              <w:rPr>
                <w:rFonts w:asciiTheme="majorHAnsi" w:hAnsiTheme="majorHAnsi" w:cstheme="majorHAnsi"/>
              </w:rPr>
            </w:pPr>
            <w:r w:rsidRPr="00F45A4E">
              <w:rPr>
                <w:rFonts w:asciiTheme="majorHAnsi" w:hAnsiTheme="majorHAnsi" w:cstheme="majorHAnsi"/>
              </w:rPr>
              <w:t xml:space="preserve">In fiscal 2015, the Department of Energy had a budget of $27.391 billion. In 2016 DOE had 14,499 </w:t>
            </w:r>
            <w:proofErr w:type="spellStart"/>
            <w:r w:rsidRPr="00F45A4E">
              <w:rPr>
                <w:rFonts w:asciiTheme="majorHAnsi" w:hAnsiTheme="majorHAnsi" w:cstheme="majorHAnsi"/>
              </w:rPr>
              <w:t>nonseasonal</w:t>
            </w:r>
            <w:proofErr w:type="spellEnd"/>
            <w:r w:rsidRPr="00F45A4E">
              <w:rPr>
                <w:rFonts w:asciiTheme="majorHAnsi" w:hAnsiTheme="majorHAnsi" w:cstheme="majorHAnsi"/>
              </w:rPr>
              <w:t xml:space="preserve"> full-time permanent employees. </w:t>
            </w:r>
            <w:r w:rsidR="002C56C7" w:rsidRPr="00F45A4E">
              <w:rPr>
                <w:rFonts w:asciiTheme="majorHAnsi" w:hAnsiTheme="majorHAnsi" w:cstheme="majorHAnsi"/>
                <w:bCs/>
              </w:rPr>
              <w:t>The OCFO houses the Office of Finance and Accounting, the Office of Budget and the Office of Corporate Information Systems. However, the CFO oversees the financial management of the entire department.</w:t>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rPr>
                <w:rFonts w:asciiTheme="majorHAnsi" w:hAnsiTheme="majorHAnsi" w:cstheme="majorHAnsi"/>
              </w:rPr>
            </w:pPr>
            <w:r w:rsidRPr="00F45A4E">
              <w:rPr>
                <w:rFonts w:asciiTheme="majorHAnsi" w:hAnsiTheme="majorHAnsi" w:cstheme="majorHAnsi"/>
              </w:rPr>
              <w:t>Primary Responsibilities</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Serves as the principal advisor to the secretary and other departmental officials on matters relating to the department's financial resources.</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Provides for and assures the financial integrity, formulation, execution and analysis of the department's annual and multi-year budget.</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Develops and maintains an integrated agency-wide financial accounting system, including systems for cash management, credit management and debt collection, with appropriate financial reporting and internal controls.</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Provides for consolidated finance and accounting services.</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lastRenderedPageBreak/>
              <w:t>Plans and performs department-wide reviews to determine compliance with the requirements of the Federal Managers' Financial Integrity Act and departmental accounting and financial policy.</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Provides required reports which include a description and analysis of the status of financial management in the department, annual financial statements, audit reports and internal accounting and administrative controls systems.</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Manages departmental payroll services and, as appropriate, cross-servicing to other federal agencies.</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Develops the Department of Energy strategic plan.</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Serves as liaison to the Office of Management and Budget (OMB) and to the congressional appropriations committees for all matters related to the departmental budget.</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Provides oversight and guidance to field offices on financial management activities.</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Budgets for and maintains the Department of Energy Working Capital Fund.</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Reviews and makes recommendations on mission need statements (critical decision - 0) for proposed acquisition of new capital assets.</w:t>
            </w:r>
          </w:p>
          <w:p w:rsidR="002C56C7" w:rsidRPr="00F45A4E" w:rsidRDefault="002C56C7" w:rsidP="002C56C7">
            <w:pPr>
              <w:numPr>
                <w:ilvl w:val="0"/>
                <w:numId w:val="44"/>
              </w:numPr>
              <w:ind w:left="432"/>
              <w:contextualSpacing/>
              <w:rPr>
                <w:rFonts w:asciiTheme="majorHAnsi" w:eastAsia="Calibri" w:hAnsiTheme="majorHAnsi" w:cstheme="majorHAnsi"/>
              </w:rPr>
            </w:pPr>
            <w:r w:rsidRPr="00F45A4E">
              <w:rPr>
                <w:rFonts w:asciiTheme="majorHAnsi" w:eastAsia="Calibri" w:hAnsiTheme="majorHAnsi" w:cstheme="majorHAnsi"/>
              </w:rPr>
              <w:t>Develops program performance measures, manages the department's performance tracking system and serves as the department's principal advocate for improved performance management.</w:t>
            </w:r>
          </w:p>
          <w:p w:rsidR="002C56C7" w:rsidRPr="00F45A4E" w:rsidRDefault="002C56C7" w:rsidP="002C56C7">
            <w:pPr>
              <w:numPr>
                <w:ilvl w:val="0"/>
                <w:numId w:val="44"/>
              </w:numPr>
              <w:ind w:left="432"/>
              <w:contextualSpacing/>
              <w:rPr>
                <w:rFonts w:asciiTheme="majorHAnsi" w:hAnsiTheme="majorHAnsi" w:cstheme="majorHAnsi"/>
              </w:rPr>
            </w:pPr>
            <w:r w:rsidRPr="00F45A4E">
              <w:rPr>
                <w:rFonts w:asciiTheme="majorHAnsi" w:hAnsiTheme="majorHAnsi" w:cstheme="majorHAnsi"/>
              </w:rPr>
              <w:t>Oversees the recruitment, selection and training of personnel to carry out agency financial management functions, as well as manages, trains and provides policy guidance and oversight of these personnel and their activities.</w:t>
            </w:r>
          </w:p>
          <w:p w:rsidR="002C56C7" w:rsidRPr="00F45A4E" w:rsidRDefault="002C56C7" w:rsidP="002C56C7">
            <w:pPr>
              <w:numPr>
                <w:ilvl w:val="0"/>
                <w:numId w:val="44"/>
              </w:numPr>
              <w:ind w:left="432"/>
              <w:contextualSpacing/>
              <w:rPr>
                <w:rFonts w:asciiTheme="majorHAnsi" w:hAnsiTheme="majorHAnsi" w:cstheme="majorHAnsi"/>
              </w:rPr>
            </w:pPr>
            <w:r w:rsidRPr="00F45A4E">
              <w:rPr>
                <w:rFonts w:asciiTheme="majorHAnsi" w:hAnsiTheme="majorHAnsi" w:cstheme="majorHAnsi"/>
              </w:rPr>
              <w:t>Takes the lead role in enterprise risk management.</w:t>
            </w:r>
          </w:p>
        </w:tc>
      </w:tr>
      <w:tr w:rsidR="002C56C7" w:rsidRPr="00F45A4E" w:rsidTr="00DB3C9C">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rPr>
                <w:rFonts w:asciiTheme="majorHAnsi" w:hAnsiTheme="majorHAnsi" w:cstheme="majorHAnsi"/>
              </w:rPr>
            </w:pPr>
            <w:r w:rsidRPr="00F45A4E">
              <w:rPr>
                <w:rFonts w:asciiTheme="majorHAnsi" w:hAnsiTheme="majorHAnsi" w:cstheme="majorHAnsi"/>
              </w:rPr>
              <w:lastRenderedPageBreak/>
              <w:t>Strategic Goals and Priorities</w:t>
            </w:r>
          </w:p>
        </w:tc>
        <w:tc>
          <w:tcPr>
            <w:tcW w:w="6791" w:type="dxa"/>
            <w:tcBorders>
              <w:top w:val="single" w:sz="2" w:space="0" w:color="auto"/>
              <w:left w:val="single" w:sz="2" w:space="0" w:color="auto"/>
              <w:bottom w:val="single" w:sz="2" w:space="0" w:color="auto"/>
              <w:right w:val="single" w:sz="2" w:space="0" w:color="auto"/>
            </w:tcBorders>
          </w:tcPr>
          <w:p w:rsidR="00516965" w:rsidRPr="00F45A4E" w:rsidRDefault="00516965" w:rsidP="00516965">
            <w:pPr>
              <w:ind w:left="72"/>
              <w:jc w:val="center"/>
              <w:rPr>
                <w:rFonts w:asciiTheme="majorHAnsi" w:hAnsiTheme="majorHAnsi" w:cstheme="majorHAnsi"/>
              </w:rPr>
            </w:pPr>
          </w:p>
          <w:p w:rsidR="00516965" w:rsidRPr="00F45A4E" w:rsidRDefault="00516965" w:rsidP="00516965">
            <w:pPr>
              <w:ind w:left="72"/>
              <w:jc w:val="center"/>
              <w:rPr>
                <w:rFonts w:asciiTheme="majorHAnsi" w:hAnsiTheme="majorHAnsi" w:cstheme="majorHAnsi"/>
              </w:rPr>
            </w:pPr>
          </w:p>
          <w:p w:rsidR="00516965" w:rsidRPr="00F45A4E" w:rsidRDefault="00516965" w:rsidP="00516965">
            <w:pPr>
              <w:ind w:left="72"/>
              <w:jc w:val="center"/>
              <w:rPr>
                <w:rFonts w:asciiTheme="majorHAnsi" w:hAnsiTheme="majorHAnsi" w:cstheme="majorHAnsi"/>
              </w:rPr>
            </w:pPr>
            <w:r w:rsidRPr="00F45A4E">
              <w:rPr>
                <w:rFonts w:asciiTheme="majorHAnsi" w:hAnsiTheme="majorHAnsi" w:cstheme="majorHAnsi"/>
              </w:rPr>
              <w:t>[Depends on the policy priorities of the administration]</w:t>
            </w:r>
          </w:p>
          <w:p w:rsidR="00516965" w:rsidRPr="00F45A4E" w:rsidRDefault="00516965" w:rsidP="00516965">
            <w:pPr>
              <w:ind w:left="72"/>
              <w:jc w:val="center"/>
              <w:rPr>
                <w:rFonts w:asciiTheme="majorHAnsi" w:hAnsiTheme="majorHAnsi" w:cstheme="majorHAnsi"/>
              </w:rPr>
            </w:pPr>
          </w:p>
          <w:p w:rsidR="002C56C7" w:rsidRPr="00F45A4E" w:rsidRDefault="002C56C7" w:rsidP="002C56C7">
            <w:pPr>
              <w:contextualSpacing/>
              <w:rPr>
                <w:rFonts w:asciiTheme="majorHAnsi" w:hAnsiTheme="majorHAnsi" w:cstheme="majorHAnsi"/>
                <w:bCs/>
                <w:lang w:val="en"/>
              </w:rPr>
            </w:pPr>
          </w:p>
        </w:tc>
      </w:tr>
      <w:tr w:rsidR="00661AE5" w:rsidRPr="00F45A4E" w:rsidTr="00BE379B">
        <w:tc>
          <w:tcPr>
            <w:tcW w:w="9462" w:type="dxa"/>
            <w:gridSpan w:val="2"/>
            <w:tcBorders>
              <w:top w:val="single" w:sz="2" w:space="0" w:color="auto"/>
              <w:left w:val="single" w:sz="2" w:space="0" w:color="auto"/>
              <w:bottom w:val="single" w:sz="2" w:space="0" w:color="auto"/>
              <w:right w:val="single" w:sz="2" w:space="0" w:color="auto"/>
            </w:tcBorders>
            <w:shd w:val="clear" w:color="auto" w:fill="003055" w:themeFill="text1"/>
          </w:tcPr>
          <w:p w:rsidR="00661AE5" w:rsidRPr="00F45A4E" w:rsidRDefault="00661AE5" w:rsidP="00B64A22">
            <w:pPr>
              <w:jc w:val="center"/>
              <w:rPr>
                <w:rFonts w:asciiTheme="majorHAnsi" w:hAnsiTheme="majorHAnsi" w:cstheme="majorHAnsi"/>
                <w:b/>
              </w:rPr>
            </w:pPr>
            <w:r w:rsidRPr="00F45A4E">
              <w:rPr>
                <w:rFonts w:asciiTheme="majorHAnsi" w:hAnsiTheme="majorHAnsi" w:cstheme="majorHAnsi"/>
                <w:b/>
              </w:rPr>
              <w:t>REQUIREMENTS AND COMPETENCIES</w:t>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rPr>
                <w:rFonts w:asciiTheme="majorHAnsi" w:hAnsiTheme="majorHAnsi" w:cstheme="majorHAnsi"/>
              </w:rPr>
            </w:pPr>
            <w:r w:rsidRPr="00F45A4E">
              <w:rPr>
                <w:rFonts w:asciiTheme="majorHAnsi" w:hAnsiTheme="majorHAnsi" w:cstheme="majorHAnsi"/>
              </w:rPr>
              <w:t>Requirements</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Strong background in federal financial management</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Executive leadership experience</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Experience working in a large organization</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Risk management experience</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Knowledge of the department’s functions and policies</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Knowledge of federal budget formulation</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Familiarity with cyber technology a plus</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Background in data analytics a plus</w:t>
            </w:r>
          </w:p>
        </w:tc>
      </w:tr>
      <w:tr w:rsidR="002C56C7" w:rsidRPr="00F45A4E" w:rsidTr="00BE379B">
        <w:tc>
          <w:tcPr>
            <w:tcW w:w="2671" w:type="dxa"/>
            <w:tcBorders>
              <w:top w:val="single" w:sz="2" w:space="0" w:color="auto"/>
              <w:left w:val="single" w:sz="2" w:space="0" w:color="auto"/>
              <w:bottom w:val="single" w:sz="2" w:space="0" w:color="auto"/>
              <w:right w:val="single" w:sz="2" w:space="0" w:color="auto"/>
            </w:tcBorders>
            <w:shd w:val="clear" w:color="auto" w:fill="F2F2F2" w:themeFill="background2" w:themeFillShade="F2"/>
          </w:tcPr>
          <w:p w:rsidR="002C56C7" w:rsidRPr="00F45A4E" w:rsidRDefault="002C56C7" w:rsidP="002C56C7">
            <w:pPr>
              <w:rPr>
                <w:rFonts w:asciiTheme="majorHAnsi" w:hAnsiTheme="majorHAnsi" w:cstheme="majorHAnsi"/>
              </w:rPr>
            </w:pPr>
            <w:r w:rsidRPr="00F45A4E">
              <w:rPr>
                <w:rFonts w:asciiTheme="majorHAnsi" w:hAnsiTheme="majorHAnsi" w:cstheme="majorHAnsi"/>
              </w:rPr>
              <w:t>Competencies</w:t>
            </w:r>
          </w:p>
        </w:tc>
        <w:tc>
          <w:tcPr>
            <w:tcW w:w="6791" w:type="dxa"/>
            <w:tcBorders>
              <w:top w:val="single" w:sz="2" w:space="0" w:color="auto"/>
              <w:left w:val="single" w:sz="2" w:space="0" w:color="auto"/>
              <w:bottom w:val="single" w:sz="2" w:space="0" w:color="auto"/>
              <w:right w:val="single" w:sz="2" w:space="0" w:color="auto"/>
            </w:tcBorders>
          </w:tcPr>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t>Ability to collaborate with the chief information officers, under/assistant secretaries for administration/management, as well as other CFOs and OMB via the CFO Council</w:t>
            </w:r>
          </w:p>
          <w:p w:rsidR="002C56C7" w:rsidRPr="00F45A4E" w:rsidRDefault="002C56C7" w:rsidP="002C56C7">
            <w:pPr>
              <w:numPr>
                <w:ilvl w:val="0"/>
                <w:numId w:val="45"/>
              </w:numPr>
              <w:ind w:left="432"/>
              <w:contextualSpacing/>
              <w:rPr>
                <w:rFonts w:asciiTheme="majorHAnsi" w:hAnsiTheme="majorHAnsi" w:cstheme="majorHAnsi"/>
              </w:rPr>
            </w:pPr>
            <w:r w:rsidRPr="00F45A4E">
              <w:rPr>
                <w:rFonts w:asciiTheme="majorHAnsi" w:hAnsiTheme="majorHAnsi" w:cstheme="majorHAnsi"/>
              </w:rPr>
              <w:lastRenderedPageBreak/>
              <w:t>Knowledge of and relationships with/ability to develop relationships with Congress</w:t>
            </w:r>
          </w:p>
        </w:tc>
      </w:tr>
      <w:tr w:rsidR="00661AE5" w:rsidRPr="00F45A4E" w:rsidTr="00BE379B">
        <w:tc>
          <w:tcPr>
            <w:tcW w:w="9462" w:type="dxa"/>
            <w:gridSpan w:val="2"/>
            <w:tcBorders>
              <w:top w:val="single" w:sz="2" w:space="0" w:color="auto"/>
              <w:left w:val="single" w:sz="2" w:space="0" w:color="auto"/>
              <w:bottom w:val="single" w:sz="2" w:space="0" w:color="auto"/>
              <w:right w:val="single" w:sz="2" w:space="0" w:color="auto"/>
            </w:tcBorders>
            <w:shd w:val="clear" w:color="auto" w:fill="003055" w:themeFill="text1"/>
          </w:tcPr>
          <w:p w:rsidR="00661AE5" w:rsidRPr="00F45A4E" w:rsidRDefault="00661AE5" w:rsidP="00B64A22">
            <w:pPr>
              <w:jc w:val="center"/>
              <w:rPr>
                <w:rFonts w:asciiTheme="majorHAnsi" w:hAnsiTheme="majorHAnsi" w:cstheme="majorHAnsi"/>
                <w:b/>
              </w:rPr>
            </w:pPr>
            <w:r w:rsidRPr="00F45A4E">
              <w:rPr>
                <w:rFonts w:asciiTheme="majorHAnsi" w:hAnsiTheme="majorHAnsi" w:cstheme="majorHAnsi"/>
                <w:b/>
              </w:rPr>
              <w:lastRenderedPageBreak/>
              <w:t>PAST APPOINTEES</w:t>
            </w:r>
          </w:p>
        </w:tc>
      </w:tr>
      <w:tr w:rsidR="00BE379B" w:rsidRPr="00F45A4E" w:rsidTr="00BE379B">
        <w:tc>
          <w:tcPr>
            <w:tcW w:w="9462" w:type="dxa"/>
            <w:gridSpan w:val="2"/>
            <w:tcBorders>
              <w:top w:val="single" w:sz="2" w:space="0" w:color="auto"/>
              <w:left w:val="single" w:sz="2" w:space="0" w:color="auto"/>
              <w:bottom w:val="single" w:sz="2" w:space="0" w:color="auto"/>
              <w:right w:val="single" w:sz="2" w:space="0" w:color="auto"/>
            </w:tcBorders>
          </w:tcPr>
          <w:p w:rsidR="00BE379B" w:rsidRPr="00F45A4E" w:rsidRDefault="002C56C7" w:rsidP="005F2010">
            <w:pPr>
              <w:rPr>
                <w:rFonts w:asciiTheme="majorHAnsi" w:hAnsiTheme="majorHAnsi" w:cstheme="majorHAnsi"/>
              </w:rPr>
            </w:pPr>
            <w:r w:rsidRPr="00F45A4E">
              <w:rPr>
                <w:rFonts w:asciiTheme="majorHAnsi" w:hAnsiTheme="majorHAnsi" w:cstheme="majorHAnsi"/>
              </w:rPr>
              <w:t xml:space="preserve">Joseph </w:t>
            </w:r>
            <w:proofErr w:type="spellStart"/>
            <w:r w:rsidRPr="00F45A4E">
              <w:rPr>
                <w:rFonts w:asciiTheme="majorHAnsi" w:hAnsiTheme="majorHAnsi" w:cstheme="majorHAnsi"/>
              </w:rPr>
              <w:t>Hezir</w:t>
            </w:r>
            <w:proofErr w:type="spellEnd"/>
            <w:r w:rsidRPr="00F45A4E">
              <w:rPr>
                <w:rFonts w:asciiTheme="majorHAnsi" w:hAnsiTheme="majorHAnsi" w:cstheme="majorHAnsi"/>
              </w:rPr>
              <w:t xml:space="preserve"> (2014 to </w:t>
            </w:r>
            <w:r w:rsidR="005F2010">
              <w:rPr>
                <w:rFonts w:asciiTheme="majorHAnsi" w:hAnsiTheme="majorHAnsi" w:cstheme="majorHAnsi"/>
              </w:rPr>
              <w:t>2017</w:t>
            </w:r>
            <w:r w:rsidRPr="00F45A4E">
              <w:rPr>
                <w:rFonts w:asciiTheme="majorHAnsi" w:hAnsiTheme="majorHAnsi" w:cstheme="majorHAnsi"/>
              </w:rPr>
              <w:t>) – Research Engineer and Executive Director of The Future of Solar Energy Study at MIT’s Energy Initiative; Vice President and Managing Partner of EOP Group, Inc.; Executive Vice President of EOP Education, LLP and EOP Foundation, Inc.</w:t>
            </w:r>
          </w:p>
        </w:tc>
      </w:tr>
      <w:tr w:rsidR="002C56C7" w:rsidRPr="00F45A4E" w:rsidTr="00BE379B">
        <w:tc>
          <w:tcPr>
            <w:tcW w:w="9462" w:type="dxa"/>
            <w:gridSpan w:val="2"/>
            <w:tcBorders>
              <w:top w:val="single" w:sz="2" w:space="0" w:color="auto"/>
              <w:left w:val="single" w:sz="2" w:space="0" w:color="auto"/>
              <w:bottom w:val="single" w:sz="2" w:space="0" w:color="auto"/>
              <w:right w:val="single" w:sz="2" w:space="0" w:color="auto"/>
            </w:tcBorders>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 xml:space="preserve">Steven Jeffrey </w:t>
            </w:r>
            <w:proofErr w:type="spellStart"/>
            <w:r w:rsidRPr="00F45A4E">
              <w:rPr>
                <w:rFonts w:asciiTheme="majorHAnsi" w:hAnsiTheme="majorHAnsi" w:cstheme="majorHAnsi"/>
              </w:rPr>
              <w:t>Isakowitz</w:t>
            </w:r>
            <w:proofErr w:type="spellEnd"/>
            <w:r w:rsidRPr="00F45A4E">
              <w:rPr>
                <w:rFonts w:asciiTheme="majorHAnsi" w:hAnsiTheme="majorHAnsi" w:cstheme="majorHAnsi"/>
              </w:rPr>
              <w:t xml:space="preserve"> (2007 to 2013) – Deputy Associate Administrator for the Exploration Systems Mission Directorate at NASA; Science and Space Programs Branch Chief at the Office of Management and Budget</w:t>
            </w:r>
          </w:p>
        </w:tc>
      </w:tr>
      <w:tr w:rsidR="002C56C7" w:rsidRPr="00F45A4E" w:rsidTr="00BE379B">
        <w:tc>
          <w:tcPr>
            <w:tcW w:w="9462" w:type="dxa"/>
            <w:gridSpan w:val="2"/>
            <w:tcBorders>
              <w:top w:val="single" w:sz="2" w:space="0" w:color="auto"/>
              <w:left w:val="single" w:sz="2" w:space="0" w:color="auto"/>
              <w:bottom w:val="single" w:sz="2" w:space="0" w:color="auto"/>
              <w:right w:val="single" w:sz="2" w:space="0" w:color="auto"/>
            </w:tcBorders>
          </w:tcPr>
          <w:p w:rsidR="002C56C7" w:rsidRPr="00F45A4E" w:rsidRDefault="002C56C7" w:rsidP="002C56C7">
            <w:pPr>
              <w:contextualSpacing/>
              <w:rPr>
                <w:rFonts w:asciiTheme="majorHAnsi" w:hAnsiTheme="majorHAnsi" w:cstheme="majorHAnsi"/>
              </w:rPr>
            </w:pPr>
            <w:r w:rsidRPr="00F45A4E">
              <w:rPr>
                <w:rFonts w:asciiTheme="majorHAnsi" w:hAnsiTheme="majorHAnsi" w:cstheme="majorHAnsi"/>
              </w:rPr>
              <w:t>Susan Johnson Grant (2004 to 2007) – Chief Financial Officer and Director of Corporate Resources for the Defense Finance and Accounting Service</w:t>
            </w:r>
          </w:p>
        </w:tc>
      </w:tr>
      <w:bookmarkEnd w:id="0"/>
      <w:tr w:rsidR="002C56C7" w:rsidRPr="00F45A4E" w:rsidTr="002C56C7">
        <w:tc>
          <w:tcPr>
            <w:tcW w:w="9462" w:type="dxa"/>
            <w:gridSpan w:val="2"/>
            <w:tcBorders>
              <w:top w:val="single" w:sz="2" w:space="0" w:color="auto"/>
              <w:left w:val="single" w:sz="2" w:space="0" w:color="auto"/>
              <w:bottom w:val="single" w:sz="2" w:space="0" w:color="auto"/>
              <w:right w:val="single" w:sz="2" w:space="0" w:color="auto"/>
            </w:tcBorders>
          </w:tcPr>
          <w:p w:rsidR="002C56C7" w:rsidRPr="00F45A4E" w:rsidRDefault="002C56C7" w:rsidP="00BC3CF1">
            <w:pPr>
              <w:contextualSpacing/>
              <w:rPr>
                <w:rFonts w:asciiTheme="majorHAnsi" w:hAnsiTheme="majorHAnsi" w:cstheme="majorHAnsi"/>
              </w:rPr>
            </w:pPr>
            <w:r w:rsidRPr="00F45A4E">
              <w:rPr>
                <w:rFonts w:asciiTheme="majorHAnsi" w:hAnsiTheme="majorHAnsi" w:cstheme="majorHAnsi"/>
              </w:rPr>
              <w:t>Bruce Marshall Carnes (2001 to 2004) – Deputy Director of Defense Financing and Accounting Services at the Department of Defense; Director of Planning, Budget and Administration at the Office of National Dru</w:t>
            </w:r>
            <w:r w:rsidR="005F2010">
              <w:rPr>
                <w:rFonts w:asciiTheme="majorHAnsi" w:hAnsiTheme="majorHAnsi" w:cstheme="majorHAnsi"/>
              </w:rPr>
              <w:t>g Control Policy; Deputy Unders</w:t>
            </w:r>
            <w:r w:rsidRPr="00F45A4E">
              <w:rPr>
                <w:rFonts w:asciiTheme="majorHAnsi" w:hAnsiTheme="majorHAnsi" w:cstheme="majorHAnsi"/>
              </w:rPr>
              <w:t>ecretary of Education</w:t>
            </w:r>
          </w:p>
        </w:tc>
      </w:tr>
    </w:tbl>
    <w:p w:rsidR="00514128" w:rsidRPr="00D56177" w:rsidRDefault="00514128">
      <w:pPr>
        <w:rPr>
          <w:rFonts w:asciiTheme="majorHAnsi" w:hAnsiTheme="majorHAnsi" w:cstheme="majorHAnsi"/>
        </w:rPr>
      </w:pPr>
    </w:p>
    <w:sectPr w:rsidR="00514128" w:rsidRPr="00D56177" w:rsidSect="00295F27">
      <w:headerReference w:type="default" r:id="rId11"/>
      <w:footerReference w:type="even" r:id="rId12"/>
      <w:footerReference w:type="default" r:id="rId13"/>
      <w:headerReference w:type="first" r:id="rId14"/>
      <w:footerReference w:type="first" r:id="rId15"/>
      <w:pgSz w:w="12240" w:h="15840"/>
      <w:pgMar w:top="576" w:right="1368" w:bottom="2448" w:left="1296" w:header="288" w:footer="432" w:gutter="0"/>
      <w:cols w:space="21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1D2" w:rsidRDefault="00FD51D2" w:rsidP="001E22F1">
      <w:r>
        <w:separator/>
      </w:r>
    </w:p>
  </w:endnote>
  <w:endnote w:type="continuationSeparator" w:id="0">
    <w:p w:rsidR="00FD51D2" w:rsidRDefault="00FD51D2" w:rsidP="001E22F1">
      <w:r>
        <w:continuationSeparator/>
      </w:r>
    </w:p>
  </w:endnote>
  <w:endnote w:id="1">
    <w:p w:rsidR="00F45A4E" w:rsidRPr="00A911C8" w:rsidRDefault="00F45A4E" w:rsidP="00F45A4E">
      <w:pPr>
        <w:pStyle w:val="EndnoteText"/>
      </w:pPr>
      <w:r w:rsidRPr="00A911C8">
        <w:rPr>
          <w:rStyle w:val="EndnoteReference"/>
        </w:rPr>
        <w:endnoteRef/>
      </w:r>
      <w:r w:rsidRPr="00A911C8">
        <w:t xml:space="preserve"> CRS report: Presidential Appointee Positions Requiring Senate Confirmation and Committees Handling Nominations, 2016</w:t>
      </w:r>
    </w:p>
  </w:endnote>
  <w:endnote w:id="2">
    <w:p w:rsidR="00516965" w:rsidRDefault="00516965">
      <w:pPr>
        <w:pStyle w:val="EndnoteText"/>
      </w:pPr>
      <w:r>
        <w:rPr>
          <w:rStyle w:val="EndnoteReference"/>
        </w:rPr>
        <w:endnoteRef/>
      </w:r>
      <w:r>
        <w:t xml:space="preserve"> </w:t>
      </w:r>
      <w:r w:rsidR="00F1651D">
        <w:t>The Consolidated Appropriations Act, 2017 (Public Law 115-31, May 5, 2017), contains a provision that continues the freeze on the payable pay rates for certain senior political officials at 2013 levels during calendar year 2017.</w:t>
      </w:r>
      <w:bookmarkStart w:id="2" w:name="_GoBack"/>
      <w:bookmarkEnd w:id="2"/>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tch\Word Templates">
    <w:altName w:val="Times New Roman"/>
    <w:panose1 w:val="00000000000000000000"/>
    <w:charset w:val="57"/>
    <w:family w:val="auto"/>
    <w:notTrueType/>
    <w:pitch w:val="default"/>
    <w:sig w:usb0="005C0074" w:usb1="00720070" w:usb2="006A006F" w:usb3="00630065" w:csb0="00730074" w:csb1="0043005C"/>
  </w:font>
  <w:font w:name="Cambria">
    <w:panose1 w:val="02040503050406030204"/>
    <w:charset w:val="00"/>
    <w:family w:val="roman"/>
    <w:pitch w:val="variable"/>
    <w:sig w:usb0="E00002FF" w:usb1="400004FF" w:usb2="00000000" w:usb3="00000000" w:csb0="0000019F" w:csb1="00000000"/>
  </w:font>
  <w:font w:name="GothamNarrow-Book">
    <w:altName w:val="Gotham Narrow Boo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A22" w:rsidRDefault="00B64A22" w:rsidP="00B72A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A22" w:rsidRDefault="00B64A22" w:rsidP="009630CC">
    <w:pPr>
      <w:pStyle w:val="TGAppendixBodyHeaders"/>
      <w:pBdr>
        <w:top w:val="single" w:sz="2" w:space="10" w:color="auto"/>
      </w:pBdr>
      <w:spacing w:line="276" w:lineRule="auto"/>
      <w:ind w:left="40"/>
      <w:rPr>
        <w:rFonts w:ascii="Arial" w:hAnsi="Arial" w:cs="Arial"/>
      </w:rPr>
    </w:pPr>
    <w:r>
      <w:rPr>
        <w:rFonts w:ascii="Arial" w:hAnsi="Arial" w:cs="Arial"/>
        <w:noProof/>
      </w:rPr>
      <w:drawing>
        <wp:inline distT="0" distB="0" distL="0" distR="0" wp14:anchorId="4A592DB5" wp14:editId="4B0D12F2">
          <wp:extent cx="3049693" cy="34640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9693" cy="346405"/>
                  </a:xfrm>
                  <a:prstGeom prst="rect">
                    <a:avLst/>
                  </a:prstGeom>
                  <a:noFill/>
                  <a:ln>
                    <a:noFill/>
                  </a:ln>
                </pic:spPr>
              </pic:pic>
            </a:graphicData>
          </a:graphic>
        </wp:inline>
      </w:drawing>
    </w:r>
  </w:p>
  <w:p w:rsidR="00B64A22" w:rsidRDefault="00B64A22" w:rsidP="009630CC">
    <w:pPr>
      <w:pStyle w:val="TGAppendixBodyHeaders"/>
      <w:pBdr>
        <w:top w:val="single" w:sz="2" w:space="10" w:color="auto"/>
      </w:pBdr>
      <w:ind w:left="40"/>
      <w:rPr>
        <w:rFonts w:ascii="Arial" w:hAnsi="Arial" w:cs="Arial"/>
      </w:rPr>
    </w:pPr>
  </w:p>
  <w:p w:rsidR="00B64A22" w:rsidRPr="009630CC" w:rsidRDefault="00B64A22" w:rsidP="009630CC">
    <w:pPr>
      <w:pStyle w:val="TGAppendixBodyHeaders"/>
      <w:pBdr>
        <w:top w:val="single" w:sz="2" w:space="10" w:color="auto"/>
      </w:pBdr>
      <w:ind w:left="40"/>
      <w:rPr>
        <w:rFonts w:ascii="Arial" w:hAnsi="Arial" w:cs="Arial"/>
      </w:rPr>
    </w:pPr>
    <w:r w:rsidRPr="009630CC">
      <w:rPr>
        <w:rFonts w:ascii="Arial" w:hAnsi="Arial" w:cs="Arial"/>
      </w:rPr>
      <w:t xml:space="preserve">The Partnership’s Center for Presidential Transition helps ensure the efficient transfer of power that our country deserves. The Center’s Ready to Govern® initiative assists candidates with the transition, works with Congress to reform the transition process, develops management recommendations to address our government’s operational challenges, and trains new political appointees. </w:t>
    </w:r>
  </w:p>
  <w:p w:rsidR="00B64A22" w:rsidRPr="009630CC" w:rsidRDefault="00B64A22" w:rsidP="009630CC">
    <w:pPr>
      <w:pStyle w:val="TGAppendixBodyHeaders"/>
      <w:pBdr>
        <w:top w:val="single" w:sz="2" w:space="10" w:color="auto"/>
      </w:pBdr>
      <w:ind w:left="40"/>
      <w:rPr>
        <w:rFonts w:ascii="Arial" w:hAnsi="Arial" w:cs="Arial"/>
      </w:rPr>
    </w:pPr>
  </w:p>
  <w:p w:rsidR="00B64A22" w:rsidRPr="00B64A22" w:rsidRDefault="00B64A22" w:rsidP="00B64A22">
    <w:pPr>
      <w:pStyle w:val="TGAppendixBodyHeaders"/>
      <w:ind w:left="40"/>
      <w:rPr>
        <w:rFonts w:ascii="Arial" w:hAnsi="Arial" w:cs="Arial"/>
        <w:b/>
      </w:rPr>
    </w:pPr>
    <w:r w:rsidRPr="009630CC">
      <w:rPr>
        <w:rFonts w:ascii="Arial" w:hAnsi="Arial" w:cs="Arial"/>
        <w:b/>
      </w:rPr>
      <w:t>For original transition documents and additional resources, templates and tools, visit presidentialtransition.org.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AE5" w:rsidRPr="00B64A22" w:rsidRDefault="00661AE5" w:rsidP="00B64A22">
    <w:pPr>
      <w:pStyle w:val="Footer"/>
      <w:tabs>
        <w:tab w:val="clear" w:pos="4680"/>
      </w:tabs>
      <w:spacing w:line="276" w:lineRule="auto"/>
      <w:ind w:right="-216"/>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1D2" w:rsidRDefault="00FD51D2" w:rsidP="001E22F1">
      <w:r>
        <w:separator/>
      </w:r>
    </w:p>
  </w:footnote>
  <w:footnote w:type="continuationSeparator" w:id="0">
    <w:p w:rsidR="00FD51D2" w:rsidRDefault="00FD51D2" w:rsidP="001E2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A22" w:rsidRPr="00207063" w:rsidRDefault="00B64A22" w:rsidP="004D7D44">
    <w:pPr>
      <w:pStyle w:val="Header"/>
      <w:tabs>
        <w:tab w:val="clear" w:pos="4680"/>
      </w:tabs>
      <w:rPr>
        <w:rFonts w:ascii="Arial" w:hAnsi="Arial" w:cs="Arial"/>
        <w:cap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A22" w:rsidRPr="004960D6" w:rsidRDefault="00B64A22" w:rsidP="00B64A22">
    <w:pPr>
      <w:pStyle w:val="Header"/>
      <w:tabs>
        <w:tab w:val="clear" w:pos="9360"/>
        <w:tab w:val="right" w:pos="8820"/>
      </w:tabs>
      <w:rPr>
        <w:rFonts w:ascii="Arial" w:hAnsi="Arial"/>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2355"/>
    <w:multiLevelType w:val="hybridMultilevel"/>
    <w:tmpl w:val="729C2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A74D34"/>
    <w:multiLevelType w:val="hybridMultilevel"/>
    <w:tmpl w:val="3506897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83485"/>
    <w:multiLevelType w:val="hybridMultilevel"/>
    <w:tmpl w:val="31F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263C6"/>
    <w:multiLevelType w:val="hybridMultilevel"/>
    <w:tmpl w:val="DB005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56A2E"/>
    <w:multiLevelType w:val="hybridMultilevel"/>
    <w:tmpl w:val="7CF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07179"/>
    <w:multiLevelType w:val="hybridMultilevel"/>
    <w:tmpl w:val="76ACF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4579A"/>
    <w:multiLevelType w:val="hybridMultilevel"/>
    <w:tmpl w:val="D5EE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F0B8A"/>
    <w:multiLevelType w:val="hybridMultilevel"/>
    <w:tmpl w:val="CCEC0556"/>
    <w:lvl w:ilvl="0" w:tplc="FD80AE94">
      <w:start w:val="1"/>
      <w:numFmt w:val="bullet"/>
      <w:lvlText w:val="•"/>
      <w:lvlJc w:val="left"/>
      <w:pPr>
        <w:tabs>
          <w:tab w:val="num" w:pos="360"/>
        </w:tabs>
        <w:ind w:left="360" w:hanging="360"/>
      </w:pPr>
      <w:rPr>
        <w:rFonts w:ascii="Arial" w:hAnsi="Arial" w:hint="default"/>
      </w:rPr>
    </w:lvl>
    <w:lvl w:ilvl="1" w:tplc="D68689F0" w:tentative="1">
      <w:start w:val="1"/>
      <w:numFmt w:val="bullet"/>
      <w:lvlText w:val="•"/>
      <w:lvlJc w:val="left"/>
      <w:pPr>
        <w:tabs>
          <w:tab w:val="num" w:pos="1080"/>
        </w:tabs>
        <w:ind w:left="1080" w:hanging="360"/>
      </w:pPr>
      <w:rPr>
        <w:rFonts w:ascii="Arial" w:hAnsi="Arial" w:hint="default"/>
      </w:rPr>
    </w:lvl>
    <w:lvl w:ilvl="2" w:tplc="31F265CC" w:tentative="1">
      <w:start w:val="1"/>
      <w:numFmt w:val="bullet"/>
      <w:lvlText w:val="•"/>
      <w:lvlJc w:val="left"/>
      <w:pPr>
        <w:tabs>
          <w:tab w:val="num" w:pos="1800"/>
        </w:tabs>
        <w:ind w:left="1800" w:hanging="360"/>
      </w:pPr>
      <w:rPr>
        <w:rFonts w:ascii="Arial" w:hAnsi="Arial" w:hint="default"/>
      </w:rPr>
    </w:lvl>
    <w:lvl w:ilvl="3" w:tplc="C6BA7C4E" w:tentative="1">
      <w:start w:val="1"/>
      <w:numFmt w:val="bullet"/>
      <w:lvlText w:val="•"/>
      <w:lvlJc w:val="left"/>
      <w:pPr>
        <w:tabs>
          <w:tab w:val="num" w:pos="2520"/>
        </w:tabs>
        <w:ind w:left="2520" w:hanging="360"/>
      </w:pPr>
      <w:rPr>
        <w:rFonts w:ascii="Arial" w:hAnsi="Arial" w:hint="default"/>
      </w:rPr>
    </w:lvl>
    <w:lvl w:ilvl="4" w:tplc="319EFB20" w:tentative="1">
      <w:start w:val="1"/>
      <w:numFmt w:val="bullet"/>
      <w:lvlText w:val="•"/>
      <w:lvlJc w:val="left"/>
      <w:pPr>
        <w:tabs>
          <w:tab w:val="num" w:pos="3240"/>
        </w:tabs>
        <w:ind w:left="3240" w:hanging="360"/>
      </w:pPr>
      <w:rPr>
        <w:rFonts w:ascii="Arial" w:hAnsi="Arial" w:hint="default"/>
      </w:rPr>
    </w:lvl>
    <w:lvl w:ilvl="5" w:tplc="BB927218" w:tentative="1">
      <w:start w:val="1"/>
      <w:numFmt w:val="bullet"/>
      <w:lvlText w:val="•"/>
      <w:lvlJc w:val="left"/>
      <w:pPr>
        <w:tabs>
          <w:tab w:val="num" w:pos="3960"/>
        </w:tabs>
        <w:ind w:left="3960" w:hanging="360"/>
      </w:pPr>
      <w:rPr>
        <w:rFonts w:ascii="Arial" w:hAnsi="Arial" w:hint="default"/>
      </w:rPr>
    </w:lvl>
    <w:lvl w:ilvl="6" w:tplc="62B2D27E" w:tentative="1">
      <w:start w:val="1"/>
      <w:numFmt w:val="bullet"/>
      <w:lvlText w:val="•"/>
      <w:lvlJc w:val="left"/>
      <w:pPr>
        <w:tabs>
          <w:tab w:val="num" w:pos="4680"/>
        </w:tabs>
        <w:ind w:left="4680" w:hanging="360"/>
      </w:pPr>
      <w:rPr>
        <w:rFonts w:ascii="Arial" w:hAnsi="Arial" w:hint="default"/>
      </w:rPr>
    </w:lvl>
    <w:lvl w:ilvl="7" w:tplc="BFCED066" w:tentative="1">
      <w:start w:val="1"/>
      <w:numFmt w:val="bullet"/>
      <w:lvlText w:val="•"/>
      <w:lvlJc w:val="left"/>
      <w:pPr>
        <w:tabs>
          <w:tab w:val="num" w:pos="5400"/>
        </w:tabs>
        <w:ind w:left="5400" w:hanging="360"/>
      </w:pPr>
      <w:rPr>
        <w:rFonts w:ascii="Arial" w:hAnsi="Arial" w:hint="default"/>
      </w:rPr>
    </w:lvl>
    <w:lvl w:ilvl="8" w:tplc="8A5EC62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C1916A3"/>
    <w:multiLevelType w:val="hybridMultilevel"/>
    <w:tmpl w:val="545C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35333"/>
    <w:multiLevelType w:val="hybridMultilevel"/>
    <w:tmpl w:val="472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1679D"/>
    <w:multiLevelType w:val="hybridMultilevel"/>
    <w:tmpl w:val="8CF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5398F"/>
    <w:multiLevelType w:val="hybridMultilevel"/>
    <w:tmpl w:val="7DCA4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20F67"/>
    <w:multiLevelType w:val="hybridMultilevel"/>
    <w:tmpl w:val="3F528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475BC"/>
    <w:multiLevelType w:val="hybridMultilevel"/>
    <w:tmpl w:val="21A4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22750"/>
    <w:multiLevelType w:val="hybridMultilevel"/>
    <w:tmpl w:val="D7F8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C02B14"/>
    <w:multiLevelType w:val="hybridMultilevel"/>
    <w:tmpl w:val="D59AF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805F8A"/>
    <w:multiLevelType w:val="hybridMultilevel"/>
    <w:tmpl w:val="A314D0A8"/>
    <w:lvl w:ilvl="0" w:tplc="926E04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314CB"/>
    <w:multiLevelType w:val="hybridMultilevel"/>
    <w:tmpl w:val="E5988168"/>
    <w:lvl w:ilvl="0" w:tplc="EFF8AA64">
      <w:start w:val="1"/>
      <w:numFmt w:val="bullet"/>
      <w:lvlText w:val="•"/>
      <w:lvlJc w:val="left"/>
      <w:pPr>
        <w:tabs>
          <w:tab w:val="num" w:pos="360"/>
        </w:tabs>
        <w:ind w:left="360" w:hanging="360"/>
      </w:pPr>
      <w:rPr>
        <w:rFonts w:ascii="Arial" w:hAnsi="Arial" w:hint="default"/>
      </w:rPr>
    </w:lvl>
    <w:lvl w:ilvl="1" w:tplc="48D21606" w:tentative="1">
      <w:start w:val="1"/>
      <w:numFmt w:val="bullet"/>
      <w:lvlText w:val="•"/>
      <w:lvlJc w:val="left"/>
      <w:pPr>
        <w:tabs>
          <w:tab w:val="num" w:pos="1080"/>
        </w:tabs>
        <w:ind w:left="1080" w:hanging="360"/>
      </w:pPr>
      <w:rPr>
        <w:rFonts w:ascii="Arial" w:hAnsi="Arial" w:hint="default"/>
      </w:rPr>
    </w:lvl>
    <w:lvl w:ilvl="2" w:tplc="3F1A3288" w:tentative="1">
      <w:start w:val="1"/>
      <w:numFmt w:val="bullet"/>
      <w:lvlText w:val="•"/>
      <w:lvlJc w:val="left"/>
      <w:pPr>
        <w:tabs>
          <w:tab w:val="num" w:pos="1800"/>
        </w:tabs>
        <w:ind w:left="1800" w:hanging="360"/>
      </w:pPr>
      <w:rPr>
        <w:rFonts w:ascii="Arial" w:hAnsi="Arial" w:hint="default"/>
      </w:rPr>
    </w:lvl>
    <w:lvl w:ilvl="3" w:tplc="142A0700" w:tentative="1">
      <w:start w:val="1"/>
      <w:numFmt w:val="bullet"/>
      <w:lvlText w:val="•"/>
      <w:lvlJc w:val="left"/>
      <w:pPr>
        <w:tabs>
          <w:tab w:val="num" w:pos="2520"/>
        </w:tabs>
        <w:ind w:left="2520" w:hanging="360"/>
      </w:pPr>
      <w:rPr>
        <w:rFonts w:ascii="Arial" w:hAnsi="Arial" w:hint="default"/>
      </w:rPr>
    </w:lvl>
    <w:lvl w:ilvl="4" w:tplc="C936B20C" w:tentative="1">
      <w:start w:val="1"/>
      <w:numFmt w:val="bullet"/>
      <w:lvlText w:val="•"/>
      <w:lvlJc w:val="left"/>
      <w:pPr>
        <w:tabs>
          <w:tab w:val="num" w:pos="3240"/>
        </w:tabs>
        <w:ind w:left="3240" w:hanging="360"/>
      </w:pPr>
      <w:rPr>
        <w:rFonts w:ascii="Arial" w:hAnsi="Arial" w:hint="default"/>
      </w:rPr>
    </w:lvl>
    <w:lvl w:ilvl="5" w:tplc="29E80B30" w:tentative="1">
      <w:start w:val="1"/>
      <w:numFmt w:val="bullet"/>
      <w:lvlText w:val="•"/>
      <w:lvlJc w:val="left"/>
      <w:pPr>
        <w:tabs>
          <w:tab w:val="num" w:pos="3960"/>
        </w:tabs>
        <w:ind w:left="3960" w:hanging="360"/>
      </w:pPr>
      <w:rPr>
        <w:rFonts w:ascii="Arial" w:hAnsi="Arial" w:hint="default"/>
      </w:rPr>
    </w:lvl>
    <w:lvl w:ilvl="6" w:tplc="A57E3BF6" w:tentative="1">
      <w:start w:val="1"/>
      <w:numFmt w:val="bullet"/>
      <w:lvlText w:val="•"/>
      <w:lvlJc w:val="left"/>
      <w:pPr>
        <w:tabs>
          <w:tab w:val="num" w:pos="4680"/>
        </w:tabs>
        <w:ind w:left="4680" w:hanging="360"/>
      </w:pPr>
      <w:rPr>
        <w:rFonts w:ascii="Arial" w:hAnsi="Arial" w:hint="default"/>
      </w:rPr>
    </w:lvl>
    <w:lvl w:ilvl="7" w:tplc="B3D20956" w:tentative="1">
      <w:start w:val="1"/>
      <w:numFmt w:val="bullet"/>
      <w:lvlText w:val="•"/>
      <w:lvlJc w:val="left"/>
      <w:pPr>
        <w:tabs>
          <w:tab w:val="num" w:pos="5400"/>
        </w:tabs>
        <w:ind w:left="5400" w:hanging="360"/>
      </w:pPr>
      <w:rPr>
        <w:rFonts w:ascii="Arial" w:hAnsi="Arial" w:hint="default"/>
      </w:rPr>
    </w:lvl>
    <w:lvl w:ilvl="8" w:tplc="8D4AEE78"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6C42BC8"/>
    <w:multiLevelType w:val="hybridMultilevel"/>
    <w:tmpl w:val="A1CE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45399"/>
    <w:multiLevelType w:val="hybridMultilevel"/>
    <w:tmpl w:val="B05C42A2"/>
    <w:lvl w:ilvl="0" w:tplc="64C69B2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844D57"/>
    <w:multiLevelType w:val="hybridMultilevel"/>
    <w:tmpl w:val="AED8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3236B"/>
    <w:multiLevelType w:val="hybridMultilevel"/>
    <w:tmpl w:val="DD50C6EE"/>
    <w:lvl w:ilvl="0" w:tplc="6C24427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A7B97"/>
    <w:multiLevelType w:val="hybridMultilevel"/>
    <w:tmpl w:val="5F3CD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205B6A"/>
    <w:multiLevelType w:val="hybridMultilevel"/>
    <w:tmpl w:val="87184304"/>
    <w:lvl w:ilvl="0" w:tplc="62CCC09E">
      <w:start w:val="1"/>
      <w:numFmt w:val="bullet"/>
      <w:lvlText w:val="•"/>
      <w:lvlJc w:val="left"/>
      <w:pPr>
        <w:tabs>
          <w:tab w:val="num" w:pos="720"/>
        </w:tabs>
        <w:ind w:left="720" w:hanging="360"/>
      </w:pPr>
      <w:rPr>
        <w:rFonts w:ascii="Arial" w:hAnsi="Arial" w:hint="default"/>
      </w:rPr>
    </w:lvl>
    <w:lvl w:ilvl="1" w:tplc="13D40176" w:tentative="1">
      <w:start w:val="1"/>
      <w:numFmt w:val="bullet"/>
      <w:lvlText w:val="•"/>
      <w:lvlJc w:val="left"/>
      <w:pPr>
        <w:tabs>
          <w:tab w:val="num" w:pos="1440"/>
        </w:tabs>
        <w:ind w:left="1440" w:hanging="360"/>
      </w:pPr>
      <w:rPr>
        <w:rFonts w:ascii="Arial" w:hAnsi="Arial" w:hint="default"/>
      </w:rPr>
    </w:lvl>
    <w:lvl w:ilvl="2" w:tplc="62585B76" w:tentative="1">
      <w:start w:val="1"/>
      <w:numFmt w:val="bullet"/>
      <w:lvlText w:val="•"/>
      <w:lvlJc w:val="left"/>
      <w:pPr>
        <w:tabs>
          <w:tab w:val="num" w:pos="2160"/>
        </w:tabs>
        <w:ind w:left="2160" w:hanging="360"/>
      </w:pPr>
      <w:rPr>
        <w:rFonts w:ascii="Arial" w:hAnsi="Arial" w:hint="default"/>
      </w:rPr>
    </w:lvl>
    <w:lvl w:ilvl="3" w:tplc="266679A8" w:tentative="1">
      <w:start w:val="1"/>
      <w:numFmt w:val="bullet"/>
      <w:lvlText w:val="•"/>
      <w:lvlJc w:val="left"/>
      <w:pPr>
        <w:tabs>
          <w:tab w:val="num" w:pos="2880"/>
        </w:tabs>
        <w:ind w:left="2880" w:hanging="360"/>
      </w:pPr>
      <w:rPr>
        <w:rFonts w:ascii="Arial" w:hAnsi="Arial" w:hint="default"/>
      </w:rPr>
    </w:lvl>
    <w:lvl w:ilvl="4" w:tplc="A4CE038E" w:tentative="1">
      <w:start w:val="1"/>
      <w:numFmt w:val="bullet"/>
      <w:lvlText w:val="•"/>
      <w:lvlJc w:val="left"/>
      <w:pPr>
        <w:tabs>
          <w:tab w:val="num" w:pos="3600"/>
        </w:tabs>
        <w:ind w:left="3600" w:hanging="360"/>
      </w:pPr>
      <w:rPr>
        <w:rFonts w:ascii="Arial" w:hAnsi="Arial" w:hint="default"/>
      </w:rPr>
    </w:lvl>
    <w:lvl w:ilvl="5" w:tplc="C23AB8E8" w:tentative="1">
      <w:start w:val="1"/>
      <w:numFmt w:val="bullet"/>
      <w:lvlText w:val="•"/>
      <w:lvlJc w:val="left"/>
      <w:pPr>
        <w:tabs>
          <w:tab w:val="num" w:pos="4320"/>
        </w:tabs>
        <w:ind w:left="4320" w:hanging="360"/>
      </w:pPr>
      <w:rPr>
        <w:rFonts w:ascii="Arial" w:hAnsi="Arial" w:hint="default"/>
      </w:rPr>
    </w:lvl>
    <w:lvl w:ilvl="6" w:tplc="37121460" w:tentative="1">
      <w:start w:val="1"/>
      <w:numFmt w:val="bullet"/>
      <w:lvlText w:val="•"/>
      <w:lvlJc w:val="left"/>
      <w:pPr>
        <w:tabs>
          <w:tab w:val="num" w:pos="5040"/>
        </w:tabs>
        <w:ind w:left="5040" w:hanging="360"/>
      </w:pPr>
      <w:rPr>
        <w:rFonts w:ascii="Arial" w:hAnsi="Arial" w:hint="default"/>
      </w:rPr>
    </w:lvl>
    <w:lvl w:ilvl="7" w:tplc="1794E7F6" w:tentative="1">
      <w:start w:val="1"/>
      <w:numFmt w:val="bullet"/>
      <w:lvlText w:val="•"/>
      <w:lvlJc w:val="left"/>
      <w:pPr>
        <w:tabs>
          <w:tab w:val="num" w:pos="5760"/>
        </w:tabs>
        <w:ind w:left="5760" w:hanging="360"/>
      </w:pPr>
      <w:rPr>
        <w:rFonts w:ascii="Arial" w:hAnsi="Arial" w:hint="default"/>
      </w:rPr>
    </w:lvl>
    <w:lvl w:ilvl="8" w:tplc="7AF0BEC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2A5D9B"/>
    <w:multiLevelType w:val="hybridMultilevel"/>
    <w:tmpl w:val="94C6DF66"/>
    <w:lvl w:ilvl="0" w:tplc="08B8F250">
      <w:start w:val="1"/>
      <w:numFmt w:val="bullet"/>
      <w:lvlText w:val="•"/>
      <w:lvlJc w:val="left"/>
      <w:pPr>
        <w:tabs>
          <w:tab w:val="num" w:pos="720"/>
        </w:tabs>
        <w:ind w:left="720" w:hanging="360"/>
      </w:pPr>
      <w:rPr>
        <w:rFonts w:ascii="Arial" w:hAnsi="Arial" w:hint="default"/>
      </w:rPr>
    </w:lvl>
    <w:lvl w:ilvl="1" w:tplc="8E3E49BC" w:tentative="1">
      <w:start w:val="1"/>
      <w:numFmt w:val="bullet"/>
      <w:lvlText w:val="•"/>
      <w:lvlJc w:val="left"/>
      <w:pPr>
        <w:tabs>
          <w:tab w:val="num" w:pos="1440"/>
        </w:tabs>
        <w:ind w:left="1440" w:hanging="360"/>
      </w:pPr>
      <w:rPr>
        <w:rFonts w:ascii="Arial" w:hAnsi="Arial" w:hint="default"/>
      </w:rPr>
    </w:lvl>
    <w:lvl w:ilvl="2" w:tplc="369A2AC4" w:tentative="1">
      <w:start w:val="1"/>
      <w:numFmt w:val="bullet"/>
      <w:lvlText w:val="•"/>
      <w:lvlJc w:val="left"/>
      <w:pPr>
        <w:tabs>
          <w:tab w:val="num" w:pos="2160"/>
        </w:tabs>
        <w:ind w:left="2160" w:hanging="360"/>
      </w:pPr>
      <w:rPr>
        <w:rFonts w:ascii="Arial" w:hAnsi="Arial" w:hint="default"/>
      </w:rPr>
    </w:lvl>
    <w:lvl w:ilvl="3" w:tplc="2B6A0214" w:tentative="1">
      <w:start w:val="1"/>
      <w:numFmt w:val="bullet"/>
      <w:lvlText w:val="•"/>
      <w:lvlJc w:val="left"/>
      <w:pPr>
        <w:tabs>
          <w:tab w:val="num" w:pos="2880"/>
        </w:tabs>
        <w:ind w:left="2880" w:hanging="360"/>
      </w:pPr>
      <w:rPr>
        <w:rFonts w:ascii="Arial" w:hAnsi="Arial" w:hint="default"/>
      </w:rPr>
    </w:lvl>
    <w:lvl w:ilvl="4" w:tplc="28ACDBC2" w:tentative="1">
      <w:start w:val="1"/>
      <w:numFmt w:val="bullet"/>
      <w:lvlText w:val="•"/>
      <w:lvlJc w:val="left"/>
      <w:pPr>
        <w:tabs>
          <w:tab w:val="num" w:pos="3600"/>
        </w:tabs>
        <w:ind w:left="3600" w:hanging="360"/>
      </w:pPr>
      <w:rPr>
        <w:rFonts w:ascii="Arial" w:hAnsi="Arial" w:hint="default"/>
      </w:rPr>
    </w:lvl>
    <w:lvl w:ilvl="5" w:tplc="2C0E8C86" w:tentative="1">
      <w:start w:val="1"/>
      <w:numFmt w:val="bullet"/>
      <w:lvlText w:val="•"/>
      <w:lvlJc w:val="left"/>
      <w:pPr>
        <w:tabs>
          <w:tab w:val="num" w:pos="4320"/>
        </w:tabs>
        <w:ind w:left="4320" w:hanging="360"/>
      </w:pPr>
      <w:rPr>
        <w:rFonts w:ascii="Arial" w:hAnsi="Arial" w:hint="default"/>
      </w:rPr>
    </w:lvl>
    <w:lvl w:ilvl="6" w:tplc="58229374" w:tentative="1">
      <w:start w:val="1"/>
      <w:numFmt w:val="bullet"/>
      <w:lvlText w:val="•"/>
      <w:lvlJc w:val="left"/>
      <w:pPr>
        <w:tabs>
          <w:tab w:val="num" w:pos="5040"/>
        </w:tabs>
        <w:ind w:left="5040" w:hanging="360"/>
      </w:pPr>
      <w:rPr>
        <w:rFonts w:ascii="Arial" w:hAnsi="Arial" w:hint="default"/>
      </w:rPr>
    </w:lvl>
    <w:lvl w:ilvl="7" w:tplc="6A20ADD0" w:tentative="1">
      <w:start w:val="1"/>
      <w:numFmt w:val="bullet"/>
      <w:lvlText w:val="•"/>
      <w:lvlJc w:val="left"/>
      <w:pPr>
        <w:tabs>
          <w:tab w:val="num" w:pos="5760"/>
        </w:tabs>
        <w:ind w:left="5760" w:hanging="360"/>
      </w:pPr>
      <w:rPr>
        <w:rFonts w:ascii="Arial" w:hAnsi="Arial" w:hint="default"/>
      </w:rPr>
    </w:lvl>
    <w:lvl w:ilvl="8" w:tplc="704C94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B4673C"/>
    <w:multiLevelType w:val="hybridMultilevel"/>
    <w:tmpl w:val="5248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312545"/>
    <w:multiLevelType w:val="hybridMultilevel"/>
    <w:tmpl w:val="E8CA1D9E"/>
    <w:lvl w:ilvl="0" w:tplc="FE1E61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76367E"/>
    <w:multiLevelType w:val="hybridMultilevel"/>
    <w:tmpl w:val="6BECA16E"/>
    <w:lvl w:ilvl="0" w:tplc="64C69B2C">
      <w:start w:val="1"/>
      <w:numFmt w:val="bullet"/>
      <w:lvlText w:val="•"/>
      <w:lvlJc w:val="left"/>
      <w:pPr>
        <w:tabs>
          <w:tab w:val="num" w:pos="720"/>
        </w:tabs>
        <w:ind w:left="720" w:hanging="360"/>
      </w:pPr>
      <w:rPr>
        <w:rFonts w:ascii="Arial" w:hAnsi="Arial" w:hint="default"/>
      </w:rPr>
    </w:lvl>
    <w:lvl w:ilvl="1" w:tplc="8FC278C8" w:tentative="1">
      <w:start w:val="1"/>
      <w:numFmt w:val="bullet"/>
      <w:lvlText w:val="•"/>
      <w:lvlJc w:val="left"/>
      <w:pPr>
        <w:tabs>
          <w:tab w:val="num" w:pos="1440"/>
        </w:tabs>
        <w:ind w:left="1440" w:hanging="360"/>
      </w:pPr>
      <w:rPr>
        <w:rFonts w:ascii="Arial" w:hAnsi="Arial" w:hint="default"/>
      </w:rPr>
    </w:lvl>
    <w:lvl w:ilvl="2" w:tplc="22F43AF2" w:tentative="1">
      <w:start w:val="1"/>
      <w:numFmt w:val="bullet"/>
      <w:lvlText w:val="•"/>
      <w:lvlJc w:val="left"/>
      <w:pPr>
        <w:tabs>
          <w:tab w:val="num" w:pos="2160"/>
        </w:tabs>
        <w:ind w:left="2160" w:hanging="360"/>
      </w:pPr>
      <w:rPr>
        <w:rFonts w:ascii="Arial" w:hAnsi="Arial" w:hint="default"/>
      </w:rPr>
    </w:lvl>
    <w:lvl w:ilvl="3" w:tplc="ACD26E66" w:tentative="1">
      <w:start w:val="1"/>
      <w:numFmt w:val="bullet"/>
      <w:lvlText w:val="•"/>
      <w:lvlJc w:val="left"/>
      <w:pPr>
        <w:tabs>
          <w:tab w:val="num" w:pos="2880"/>
        </w:tabs>
        <w:ind w:left="2880" w:hanging="360"/>
      </w:pPr>
      <w:rPr>
        <w:rFonts w:ascii="Arial" w:hAnsi="Arial" w:hint="default"/>
      </w:rPr>
    </w:lvl>
    <w:lvl w:ilvl="4" w:tplc="D5524D14" w:tentative="1">
      <w:start w:val="1"/>
      <w:numFmt w:val="bullet"/>
      <w:lvlText w:val="•"/>
      <w:lvlJc w:val="left"/>
      <w:pPr>
        <w:tabs>
          <w:tab w:val="num" w:pos="3600"/>
        </w:tabs>
        <w:ind w:left="3600" w:hanging="360"/>
      </w:pPr>
      <w:rPr>
        <w:rFonts w:ascii="Arial" w:hAnsi="Arial" w:hint="default"/>
      </w:rPr>
    </w:lvl>
    <w:lvl w:ilvl="5" w:tplc="90629B54" w:tentative="1">
      <w:start w:val="1"/>
      <w:numFmt w:val="bullet"/>
      <w:lvlText w:val="•"/>
      <w:lvlJc w:val="left"/>
      <w:pPr>
        <w:tabs>
          <w:tab w:val="num" w:pos="4320"/>
        </w:tabs>
        <w:ind w:left="4320" w:hanging="360"/>
      </w:pPr>
      <w:rPr>
        <w:rFonts w:ascii="Arial" w:hAnsi="Arial" w:hint="default"/>
      </w:rPr>
    </w:lvl>
    <w:lvl w:ilvl="6" w:tplc="711CD0C2" w:tentative="1">
      <w:start w:val="1"/>
      <w:numFmt w:val="bullet"/>
      <w:lvlText w:val="•"/>
      <w:lvlJc w:val="left"/>
      <w:pPr>
        <w:tabs>
          <w:tab w:val="num" w:pos="5040"/>
        </w:tabs>
        <w:ind w:left="5040" w:hanging="360"/>
      </w:pPr>
      <w:rPr>
        <w:rFonts w:ascii="Arial" w:hAnsi="Arial" w:hint="default"/>
      </w:rPr>
    </w:lvl>
    <w:lvl w:ilvl="7" w:tplc="1ACA2496" w:tentative="1">
      <w:start w:val="1"/>
      <w:numFmt w:val="bullet"/>
      <w:lvlText w:val="•"/>
      <w:lvlJc w:val="left"/>
      <w:pPr>
        <w:tabs>
          <w:tab w:val="num" w:pos="5760"/>
        </w:tabs>
        <w:ind w:left="5760" w:hanging="360"/>
      </w:pPr>
      <w:rPr>
        <w:rFonts w:ascii="Arial" w:hAnsi="Arial" w:hint="default"/>
      </w:rPr>
    </w:lvl>
    <w:lvl w:ilvl="8" w:tplc="D302A41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E663D3"/>
    <w:multiLevelType w:val="hybridMultilevel"/>
    <w:tmpl w:val="D744E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07480"/>
    <w:multiLevelType w:val="hybridMultilevel"/>
    <w:tmpl w:val="510A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B2FF6"/>
    <w:multiLevelType w:val="hybridMultilevel"/>
    <w:tmpl w:val="7E9CABF4"/>
    <w:lvl w:ilvl="0" w:tplc="40B60750">
      <w:start w:val="1"/>
      <w:numFmt w:val="bullet"/>
      <w:lvlText w:val="•"/>
      <w:lvlJc w:val="left"/>
      <w:pPr>
        <w:tabs>
          <w:tab w:val="num" w:pos="720"/>
        </w:tabs>
        <w:ind w:left="720" w:hanging="360"/>
      </w:pPr>
      <w:rPr>
        <w:rFonts w:ascii="Arial" w:hAnsi="Arial" w:hint="default"/>
      </w:rPr>
    </w:lvl>
    <w:lvl w:ilvl="1" w:tplc="05D2C146" w:tentative="1">
      <w:start w:val="1"/>
      <w:numFmt w:val="bullet"/>
      <w:lvlText w:val="•"/>
      <w:lvlJc w:val="left"/>
      <w:pPr>
        <w:tabs>
          <w:tab w:val="num" w:pos="1440"/>
        </w:tabs>
        <w:ind w:left="1440" w:hanging="360"/>
      </w:pPr>
      <w:rPr>
        <w:rFonts w:ascii="Arial" w:hAnsi="Arial" w:hint="default"/>
      </w:rPr>
    </w:lvl>
    <w:lvl w:ilvl="2" w:tplc="479207D8" w:tentative="1">
      <w:start w:val="1"/>
      <w:numFmt w:val="bullet"/>
      <w:lvlText w:val="•"/>
      <w:lvlJc w:val="left"/>
      <w:pPr>
        <w:tabs>
          <w:tab w:val="num" w:pos="2160"/>
        </w:tabs>
        <w:ind w:left="2160" w:hanging="360"/>
      </w:pPr>
      <w:rPr>
        <w:rFonts w:ascii="Arial" w:hAnsi="Arial" w:hint="default"/>
      </w:rPr>
    </w:lvl>
    <w:lvl w:ilvl="3" w:tplc="61D808B2" w:tentative="1">
      <w:start w:val="1"/>
      <w:numFmt w:val="bullet"/>
      <w:lvlText w:val="•"/>
      <w:lvlJc w:val="left"/>
      <w:pPr>
        <w:tabs>
          <w:tab w:val="num" w:pos="2880"/>
        </w:tabs>
        <w:ind w:left="2880" w:hanging="360"/>
      </w:pPr>
      <w:rPr>
        <w:rFonts w:ascii="Arial" w:hAnsi="Arial" w:hint="default"/>
      </w:rPr>
    </w:lvl>
    <w:lvl w:ilvl="4" w:tplc="FB0CC380" w:tentative="1">
      <w:start w:val="1"/>
      <w:numFmt w:val="bullet"/>
      <w:lvlText w:val="•"/>
      <w:lvlJc w:val="left"/>
      <w:pPr>
        <w:tabs>
          <w:tab w:val="num" w:pos="3600"/>
        </w:tabs>
        <w:ind w:left="3600" w:hanging="360"/>
      </w:pPr>
      <w:rPr>
        <w:rFonts w:ascii="Arial" w:hAnsi="Arial" w:hint="default"/>
      </w:rPr>
    </w:lvl>
    <w:lvl w:ilvl="5" w:tplc="9F7261E0" w:tentative="1">
      <w:start w:val="1"/>
      <w:numFmt w:val="bullet"/>
      <w:lvlText w:val="•"/>
      <w:lvlJc w:val="left"/>
      <w:pPr>
        <w:tabs>
          <w:tab w:val="num" w:pos="4320"/>
        </w:tabs>
        <w:ind w:left="4320" w:hanging="360"/>
      </w:pPr>
      <w:rPr>
        <w:rFonts w:ascii="Arial" w:hAnsi="Arial" w:hint="default"/>
      </w:rPr>
    </w:lvl>
    <w:lvl w:ilvl="6" w:tplc="3F5AD2A8" w:tentative="1">
      <w:start w:val="1"/>
      <w:numFmt w:val="bullet"/>
      <w:lvlText w:val="•"/>
      <w:lvlJc w:val="left"/>
      <w:pPr>
        <w:tabs>
          <w:tab w:val="num" w:pos="5040"/>
        </w:tabs>
        <w:ind w:left="5040" w:hanging="360"/>
      </w:pPr>
      <w:rPr>
        <w:rFonts w:ascii="Arial" w:hAnsi="Arial" w:hint="default"/>
      </w:rPr>
    </w:lvl>
    <w:lvl w:ilvl="7" w:tplc="04D25CD4" w:tentative="1">
      <w:start w:val="1"/>
      <w:numFmt w:val="bullet"/>
      <w:lvlText w:val="•"/>
      <w:lvlJc w:val="left"/>
      <w:pPr>
        <w:tabs>
          <w:tab w:val="num" w:pos="5760"/>
        </w:tabs>
        <w:ind w:left="5760" w:hanging="360"/>
      </w:pPr>
      <w:rPr>
        <w:rFonts w:ascii="Arial" w:hAnsi="Arial" w:hint="default"/>
      </w:rPr>
    </w:lvl>
    <w:lvl w:ilvl="8" w:tplc="8BB2990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EE237A"/>
    <w:multiLevelType w:val="hybridMultilevel"/>
    <w:tmpl w:val="840AEF76"/>
    <w:lvl w:ilvl="0" w:tplc="1B8AD5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52ED4"/>
    <w:multiLevelType w:val="hybridMultilevel"/>
    <w:tmpl w:val="247E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4F37C7A"/>
    <w:multiLevelType w:val="hybridMultilevel"/>
    <w:tmpl w:val="3104C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99755E"/>
    <w:multiLevelType w:val="hybridMultilevel"/>
    <w:tmpl w:val="B6FEA46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B255DE"/>
    <w:multiLevelType w:val="hybridMultilevel"/>
    <w:tmpl w:val="C82EFF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274CC"/>
    <w:multiLevelType w:val="hybridMultilevel"/>
    <w:tmpl w:val="3B1E7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250A24"/>
    <w:multiLevelType w:val="hybridMultilevel"/>
    <w:tmpl w:val="5B3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CA03A3"/>
    <w:multiLevelType w:val="hybridMultilevel"/>
    <w:tmpl w:val="44FA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C32DD"/>
    <w:multiLevelType w:val="hybridMultilevel"/>
    <w:tmpl w:val="1D0A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1C2CB9"/>
    <w:multiLevelType w:val="hybridMultilevel"/>
    <w:tmpl w:val="DF80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54135"/>
    <w:multiLevelType w:val="hybridMultilevel"/>
    <w:tmpl w:val="FAF8ABD0"/>
    <w:lvl w:ilvl="0" w:tplc="E44CF7E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D4C68"/>
    <w:multiLevelType w:val="hybridMultilevel"/>
    <w:tmpl w:val="CEDC8C7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9516B8"/>
    <w:multiLevelType w:val="hybridMultilevel"/>
    <w:tmpl w:val="9D2E83B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37500"/>
    <w:multiLevelType w:val="hybridMultilevel"/>
    <w:tmpl w:val="914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4"/>
  </w:num>
  <w:num w:numId="3">
    <w:abstractNumId w:val="13"/>
  </w:num>
  <w:num w:numId="4">
    <w:abstractNumId w:val="44"/>
  </w:num>
  <w:num w:numId="5">
    <w:abstractNumId w:val="6"/>
  </w:num>
  <w:num w:numId="6">
    <w:abstractNumId w:val="40"/>
  </w:num>
  <w:num w:numId="7">
    <w:abstractNumId w:val="5"/>
  </w:num>
  <w:num w:numId="8">
    <w:abstractNumId w:val="35"/>
  </w:num>
  <w:num w:numId="9">
    <w:abstractNumId w:val="18"/>
  </w:num>
  <w:num w:numId="10">
    <w:abstractNumId w:val="7"/>
  </w:num>
  <w:num w:numId="11">
    <w:abstractNumId w:val="17"/>
  </w:num>
  <w:num w:numId="12">
    <w:abstractNumId w:val="24"/>
  </w:num>
  <w:num w:numId="13">
    <w:abstractNumId w:val="23"/>
  </w:num>
  <w:num w:numId="14">
    <w:abstractNumId w:val="27"/>
  </w:num>
  <w:num w:numId="15">
    <w:abstractNumId w:val="30"/>
  </w:num>
  <w:num w:numId="16">
    <w:abstractNumId w:val="2"/>
  </w:num>
  <w:num w:numId="17">
    <w:abstractNumId w:val="20"/>
  </w:num>
  <w:num w:numId="18">
    <w:abstractNumId w:val="39"/>
  </w:num>
  <w:num w:numId="19">
    <w:abstractNumId w:val="9"/>
  </w:num>
  <w:num w:numId="20">
    <w:abstractNumId w:val="29"/>
  </w:num>
  <w:num w:numId="21">
    <w:abstractNumId w:val="37"/>
  </w:num>
  <w:num w:numId="22">
    <w:abstractNumId w:val="11"/>
  </w:num>
  <w:num w:numId="23">
    <w:abstractNumId w:val="8"/>
  </w:num>
  <w:num w:numId="24">
    <w:abstractNumId w:val="38"/>
  </w:num>
  <w:num w:numId="25">
    <w:abstractNumId w:val="15"/>
  </w:num>
  <w:num w:numId="26">
    <w:abstractNumId w:val="3"/>
  </w:num>
  <w:num w:numId="27">
    <w:abstractNumId w:val="21"/>
  </w:num>
  <w:num w:numId="28">
    <w:abstractNumId w:val="19"/>
  </w:num>
  <w:num w:numId="29">
    <w:abstractNumId w:val="22"/>
  </w:num>
  <w:num w:numId="30">
    <w:abstractNumId w:val="34"/>
  </w:num>
  <w:num w:numId="31">
    <w:abstractNumId w:val="42"/>
  </w:num>
  <w:num w:numId="32">
    <w:abstractNumId w:val="43"/>
  </w:num>
  <w:num w:numId="33">
    <w:abstractNumId w:val="10"/>
  </w:num>
  <w:num w:numId="34">
    <w:abstractNumId w:val="1"/>
  </w:num>
  <w:num w:numId="35">
    <w:abstractNumId w:val="32"/>
  </w:num>
  <w:num w:numId="36">
    <w:abstractNumId w:val="16"/>
  </w:num>
  <w:num w:numId="37">
    <w:abstractNumId w:val="26"/>
  </w:num>
  <w:num w:numId="38">
    <w:abstractNumId w:val="31"/>
  </w:num>
  <w:num w:numId="39">
    <w:abstractNumId w:val="33"/>
  </w:num>
  <w:num w:numId="40">
    <w:abstractNumId w:val="25"/>
  </w:num>
  <w:num w:numId="41">
    <w:abstractNumId w:val="12"/>
  </w:num>
  <w:num w:numId="42">
    <w:abstractNumId w:val="0"/>
  </w:num>
  <w:num w:numId="43">
    <w:abstractNumId w:val="14"/>
  </w:num>
  <w:num w:numId="44">
    <w:abstractNumId w:val="28"/>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FC"/>
    <w:rsid w:val="00005556"/>
    <w:rsid w:val="000078FD"/>
    <w:rsid w:val="000126AC"/>
    <w:rsid w:val="00016839"/>
    <w:rsid w:val="00017A44"/>
    <w:rsid w:val="00021B49"/>
    <w:rsid w:val="000221E0"/>
    <w:rsid w:val="00023CFC"/>
    <w:rsid w:val="00034730"/>
    <w:rsid w:val="0004519C"/>
    <w:rsid w:val="0005292C"/>
    <w:rsid w:val="0006648F"/>
    <w:rsid w:val="00073701"/>
    <w:rsid w:val="0007480D"/>
    <w:rsid w:val="00076645"/>
    <w:rsid w:val="00080E76"/>
    <w:rsid w:val="0008263D"/>
    <w:rsid w:val="000846D6"/>
    <w:rsid w:val="0008706F"/>
    <w:rsid w:val="00087A28"/>
    <w:rsid w:val="000A0629"/>
    <w:rsid w:val="000A0E94"/>
    <w:rsid w:val="000A35C6"/>
    <w:rsid w:val="000B0938"/>
    <w:rsid w:val="000B0F7D"/>
    <w:rsid w:val="000B1A94"/>
    <w:rsid w:val="000B3130"/>
    <w:rsid w:val="000B3BCB"/>
    <w:rsid w:val="000B5E2B"/>
    <w:rsid w:val="000B603B"/>
    <w:rsid w:val="000C53FD"/>
    <w:rsid w:val="000D1780"/>
    <w:rsid w:val="000D2778"/>
    <w:rsid w:val="000E0157"/>
    <w:rsid w:val="000E05E6"/>
    <w:rsid w:val="000E398B"/>
    <w:rsid w:val="000E399D"/>
    <w:rsid w:val="000F0F0A"/>
    <w:rsid w:val="000F2228"/>
    <w:rsid w:val="000F3659"/>
    <w:rsid w:val="000F3B5D"/>
    <w:rsid w:val="000F6976"/>
    <w:rsid w:val="000F69F1"/>
    <w:rsid w:val="00106C24"/>
    <w:rsid w:val="001150DF"/>
    <w:rsid w:val="0012306F"/>
    <w:rsid w:val="00125E46"/>
    <w:rsid w:val="0012723C"/>
    <w:rsid w:val="00134C96"/>
    <w:rsid w:val="00134D8D"/>
    <w:rsid w:val="00136A97"/>
    <w:rsid w:val="00137365"/>
    <w:rsid w:val="00150E02"/>
    <w:rsid w:val="00160969"/>
    <w:rsid w:val="00160F21"/>
    <w:rsid w:val="001658B6"/>
    <w:rsid w:val="00171A70"/>
    <w:rsid w:val="0017272D"/>
    <w:rsid w:val="00174883"/>
    <w:rsid w:val="00177151"/>
    <w:rsid w:val="00177526"/>
    <w:rsid w:val="0018425C"/>
    <w:rsid w:val="00187070"/>
    <w:rsid w:val="001956F0"/>
    <w:rsid w:val="001A3E9A"/>
    <w:rsid w:val="001A636E"/>
    <w:rsid w:val="001B63A1"/>
    <w:rsid w:val="001C0B08"/>
    <w:rsid w:val="001C1577"/>
    <w:rsid w:val="001C2D85"/>
    <w:rsid w:val="001C39AC"/>
    <w:rsid w:val="001C5B3D"/>
    <w:rsid w:val="001D0348"/>
    <w:rsid w:val="001D36AA"/>
    <w:rsid w:val="001E22F1"/>
    <w:rsid w:val="001E2508"/>
    <w:rsid w:val="001E486F"/>
    <w:rsid w:val="001E5266"/>
    <w:rsid w:val="001F4645"/>
    <w:rsid w:val="001F77F1"/>
    <w:rsid w:val="00205DE4"/>
    <w:rsid w:val="00207063"/>
    <w:rsid w:val="00220C28"/>
    <w:rsid w:val="00220D75"/>
    <w:rsid w:val="0022173F"/>
    <w:rsid w:val="00221F98"/>
    <w:rsid w:val="00222732"/>
    <w:rsid w:val="00224E61"/>
    <w:rsid w:val="0023261D"/>
    <w:rsid w:val="002366A8"/>
    <w:rsid w:val="002375DE"/>
    <w:rsid w:val="00246779"/>
    <w:rsid w:val="00262C31"/>
    <w:rsid w:val="002638DC"/>
    <w:rsid w:val="00263CE0"/>
    <w:rsid w:val="002678E9"/>
    <w:rsid w:val="00282909"/>
    <w:rsid w:val="00292D76"/>
    <w:rsid w:val="00295F27"/>
    <w:rsid w:val="00297C2A"/>
    <w:rsid w:val="002A71CC"/>
    <w:rsid w:val="002B3AC4"/>
    <w:rsid w:val="002B44C0"/>
    <w:rsid w:val="002B59FC"/>
    <w:rsid w:val="002B6242"/>
    <w:rsid w:val="002C56C7"/>
    <w:rsid w:val="002C76AB"/>
    <w:rsid w:val="002C7A86"/>
    <w:rsid w:val="002D0033"/>
    <w:rsid w:val="002D28DF"/>
    <w:rsid w:val="002E0713"/>
    <w:rsid w:val="002E3137"/>
    <w:rsid w:val="002F204D"/>
    <w:rsid w:val="002F2F32"/>
    <w:rsid w:val="0030193E"/>
    <w:rsid w:val="00303227"/>
    <w:rsid w:val="00321F38"/>
    <w:rsid w:val="00330ACB"/>
    <w:rsid w:val="00331394"/>
    <w:rsid w:val="003317A8"/>
    <w:rsid w:val="003353C5"/>
    <w:rsid w:val="003454E5"/>
    <w:rsid w:val="00347F97"/>
    <w:rsid w:val="00354173"/>
    <w:rsid w:val="00354E26"/>
    <w:rsid w:val="003616AC"/>
    <w:rsid w:val="00366270"/>
    <w:rsid w:val="00370ED0"/>
    <w:rsid w:val="00375A18"/>
    <w:rsid w:val="00386024"/>
    <w:rsid w:val="003910F3"/>
    <w:rsid w:val="0039752D"/>
    <w:rsid w:val="003A0397"/>
    <w:rsid w:val="003A4DD4"/>
    <w:rsid w:val="003A6E33"/>
    <w:rsid w:val="003C35B5"/>
    <w:rsid w:val="003C3EF6"/>
    <w:rsid w:val="003C56E7"/>
    <w:rsid w:val="003D120B"/>
    <w:rsid w:val="003D4CCB"/>
    <w:rsid w:val="003D5759"/>
    <w:rsid w:val="003E45AC"/>
    <w:rsid w:val="00405D3E"/>
    <w:rsid w:val="00405E4F"/>
    <w:rsid w:val="00411497"/>
    <w:rsid w:val="00414F4B"/>
    <w:rsid w:val="004171B4"/>
    <w:rsid w:val="00422D9C"/>
    <w:rsid w:val="00424234"/>
    <w:rsid w:val="00435A07"/>
    <w:rsid w:val="00437A38"/>
    <w:rsid w:val="00441ACF"/>
    <w:rsid w:val="0045383F"/>
    <w:rsid w:val="004618AB"/>
    <w:rsid w:val="00463F52"/>
    <w:rsid w:val="00463F7A"/>
    <w:rsid w:val="00467E18"/>
    <w:rsid w:val="00472A3C"/>
    <w:rsid w:val="00473034"/>
    <w:rsid w:val="0047481D"/>
    <w:rsid w:val="00475D2E"/>
    <w:rsid w:val="00476188"/>
    <w:rsid w:val="00483140"/>
    <w:rsid w:val="004846D3"/>
    <w:rsid w:val="004853B8"/>
    <w:rsid w:val="00490323"/>
    <w:rsid w:val="00490A62"/>
    <w:rsid w:val="00491AD6"/>
    <w:rsid w:val="004960D6"/>
    <w:rsid w:val="004967A1"/>
    <w:rsid w:val="004A5A1A"/>
    <w:rsid w:val="004B5D5B"/>
    <w:rsid w:val="004B7829"/>
    <w:rsid w:val="004C0C7A"/>
    <w:rsid w:val="004C0F5B"/>
    <w:rsid w:val="004D37D9"/>
    <w:rsid w:val="004D3D04"/>
    <w:rsid w:val="004D6AA7"/>
    <w:rsid w:val="004D7D44"/>
    <w:rsid w:val="004E1C64"/>
    <w:rsid w:val="004E717F"/>
    <w:rsid w:val="004F21A0"/>
    <w:rsid w:val="004F4242"/>
    <w:rsid w:val="00500B8F"/>
    <w:rsid w:val="0050792E"/>
    <w:rsid w:val="00514128"/>
    <w:rsid w:val="005156FD"/>
    <w:rsid w:val="00516965"/>
    <w:rsid w:val="00521CF6"/>
    <w:rsid w:val="00526017"/>
    <w:rsid w:val="005303B7"/>
    <w:rsid w:val="0053247E"/>
    <w:rsid w:val="00532BE2"/>
    <w:rsid w:val="00534682"/>
    <w:rsid w:val="0055292D"/>
    <w:rsid w:val="0056253E"/>
    <w:rsid w:val="00562761"/>
    <w:rsid w:val="0056287D"/>
    <w:rsid w:val="00564475"/>
    <w:rsid w:val="005676B7"/>
    <w:rsid w:val="00572669"/>
    <w:rsid w:val="00574039"/>
    <w:rsid w:val="00577F0A"/>
    <w:rsid w:val="0058599E"/>
    <w:rsid w:val="005B0C70"/>
    <w:rsid w:val="005B44AE"/>
    <w:rsid w:val="005D4099"/>
    <w:rsid w:val="005D5806"/>
    <w:rsid w:val="005D63FF"/>
    <w:rsid w:val="005E6E2F"/>
    <w:rsid w:val="005F2010"/>
    <w:rsid w:val="005F2771"/>
    <w:rsid w:val="005F77C9"/>
    <w:rsid w:val="006013AB"/>
    <w:rsid w:val="00602B9F"/>
    <w:rsid w:val="00603EFC"/>
    <w:rsid w:val="00622F39"/>
    <w:rsid w:val="00623BD2"/>
    <w:rsid w:val="0063039C"/>
    <w:rsid w:val="00635D16"/>
    <w:rsid w:val="00637430"/>
    <w:rsid w:val="00650906"/>
    <w:rsid w:val="00654DD9"/>
    <w:rsid w:val="00655EAB"/>
    <w:rsid w:val="00657445"/>
    <w:rsid w:val="00661AAC"/>
    <w:rsid w:val="00661AE5"/>
    <w:rsid w:val="00663758"/>
    <w:rsid w:val="00670E3F"/>
    <w:rsid w:val="00683B6B"/>
    <w:rsid w:val="00687A9E"/>
    <w:rsid w:val="0069387A"/>
    <w:rsid w:val="006939E5"/>
    <w:rsid w:val="006B0D7D"/>
    <w:rsid w:val="006B379A"/>
    <w:rsid w:val="006B6253"/>
    <w:rsid w:val="006C14EE"/>
    <w:rsid w:val="006C2A1C"/>
    <w:rsid w:val="006E008A"/>
    <w:rsid w:val="006E2A70"/>
    <w:rsid w:val="006E374B"/>
    <w:rsid w:val="006E50C0"/>
    <w:rsid w:val="007043CA"/>
    <w:rsid w:val="0072243C"/>
    <w:rsid w:val="007237FA"/>
    <w:rsid w:val="00732A91"/>
    <w:rsid w:val="00736EC8"/>
    <w:rsid w:val="00737980"/>
    <w:rsid w:val="00741D94"/>
    <w:rsid w:val="007467DF"/>
    <w:rsid w:val="00750157"/>
    <w:rsid w:val="00756A61"/>
    <w:rsid w:val="00762481"/>
    <w:rsid w:val="0076444F"/>
    <w:rsid w:val="007872BC"/>
    <w:rsid w:val="007A377A"/>
    <w:rsid w:val="007B1D32"/>
    <w:rsid w:val="007B6E3E"/>
    <w:rsid w:val="007D1AFF"/>
    <w:rsid w:val="007D609D"/>
    <w:rsid w:val="007D669F"/>
    <w:rsid w:val="007E1950"/>
    <w:rsid w:val="007E27B5"/>
    <w:rsid w:val="007F0E84"/>
    <w:rsid w:val="007F17B1"/>
    <w:rsid w:val="007F321F"/>
    <w:rsid w:val="007F338A"/>
    <w:rsid w:val="007F5A8E"/>
    <w:rsid w:val="007F6387"/>
    <w:rsid w:val="00806C5D"/>
    <w:rsid w:val="00820463"/>
    <w:rsid w:val="00821486"/>
    <w:rsid w:val="008271A8"/>
    <w:rsid w:val="00833527"/>
    <w:rsid w:val="00836810"/>
    <w:rsid w:val="00843FE7"/>
    <w:rsid w:val="00845BCF"/>
    <w:rsid w:val="0085024B"/>
    <w:rsid w:val="0085653B"/>
    <w:rsid w:val="00860EC5"/>
    <w:rsid w:val="00867383"/>
    <w:rsid w:val="008744A6"/>
    <w:rsid w:val="0087689B"/>
    <w:rsid w:val="008807E6"/>
    <w:rsid w:val="00883BC8"/>
    <w:rsid w:val="008875E1"/>
    <w:rsid w:val="0089745E"/>
    <w:rsid w:val="00897ABC"/>
    <w:rsid w:val="008A05DD"/>
    <w:rsid w:val="008A32C9"/>
    <w:rsid w:val="008A7731"/>
    <w:rsid w:val="008B4CA7"/>
    <w:rsid w:val="008B7489"/>
    <w:rsid w:val="008C1B8C"/>
    <w:rsid w:val="008C1E77"/>
    <w:rsid w:val="008C5194"/>
    <w:rsid w:val="008D30E6"/>
    <w:rsid w:val="008D3564"/>
    <w:rsid w:val="008E547A"/>
    <w:rsid w:val="00901824"/>
    <w:rsid w:val="009069C2"/>
    <w:rsid w:val="009140FD"/>
    <w:rsid w:val="009241DC"/>
    <w:rsid w:val="00932702"/>
    <w:rsid w:val="0094517E"/>
    <w:rsid w:val="00962B37"/>
    <w:rsid w:val="009630CC"/>
    <w:rsid w:val="0096330D"/>
    <w:rsid w:val="009703F5"/>
    <w:rsid w:val="00970EB1"/>
    <w:rsid w:val="00971A5E"/>
    <w:rsid w:val="009754EA"/>
    <w:rsid w:val="00977755"/>
    <w:rsid w:val="00977835"/>
    <w:rsid w:val="00981574"/>
    <w:rsid w:val="00981585"/>
    <w:rsid w:val="009A0E47"/>
    <w:rsid w:val="009A7E33"/>
    <w:rsid w:val="009B458C"/>
    <w:rsid w:val="009B5C03"/>
    <w:rsid w:val="009C2FED"/>
    <w:rsid w:val="009D264E"/>
    <w:rsid w:val="009D3593"/>
    <w:rsid w:val="009E46C4"/>
    <w:rsid w:val="009E586C"/>
    <w:rsid w:val="009F59E4"/>
    <w:rsid w:val="00A07798"/>
    <w:rsid w:val="00A07E43"/>
    <w:rsid w:val="00A11046"/>
    <w:rsid w:val="00A113B9"/>
    <w:rsid w:val="00A15619"/>
    <w:rsid w:val="00A16DAE"/>
    <w:rsid w:val="00A20D92"/>
    <w:rsid w:val="00A21FED"/>
    <w:rsid w:val="00A33BE1"/>
    <w:rsid w:val="00A37BD6"/>
    <w:rsid w:val="00A46A0C"/>
    <w:rsid w:val="00A54EF3"/>
    <w:rsid w:val="00A653B2"/>
    <w:rsid w:val="00A8031D"/>
    <w:rsid w:val="00A869D4"/>
    <w:rsid w:val="00A92C24"/>
    <w:rsid w:val="00A9589A"/>
    <w:rsid w:val="00AA2E6E"/>
    <w:rsid w:val="00AA39E1"/>
    <w:rsid w:val="00AB37A6"/>
    <w:rsid w:val="00AC4349"/>
    <w:rsid w:val="00AC65D8"/>
    <w:rsid w:val="00AD2B8A"/>
    <w:rsid w:val="00AD47DA"/>
    <w:rsid w:val="00AD7337"/>
    <w:rsid w:val="00AE28E2"/>
    <w:rsid w:val="00AE78EC"/>
    <w:rsid w:val="00AF0FB2"/>
    <w:rsid w:val="00B015A0"/>
    <w:rsid w:val="00B037A9"/>
    <w:rsid w:val="00B03FED"/>
    <w:rsid w:val="00B05D99"/>
    <w:rsid w:val="00B15587"/>
    <w:rsid w:val="00B22E7C"/>
    <w:rsid w:val="00B3093B"/>
    <w:rsid w:val="00B33201"/>
    <w:rsid w:val="00B33603"/>
    <w:rsid w:val="00B400BE"/>
    <w:rsid w:val="00B47264"/>
    <w:rsid w:val="00B55C24"/>
    <w:rsid w:val="00B609BD"/>
    <w:rsid w:val="00B64A22"/>
    <w:rsid w:val="00B66919"/>
    <w:rsid w:val="00B72A3A"/>
    <w:rsid w:val="00B761F1"/>
    <w:rsid w:val="00B8440A"/>
    <w:rsid w:val="00B85C44"/>
    <w:rsid w:val="00B8737B"/>
    <w:rsid w:val="00B92A39"/>
    <w:rsid w:val="00B97B34"/>
    <w:rsid w:val="00BA34BC"/>
    <w:rsid w:val="00BC1493"/>
    <w:rsid w:val="00BC78FF"/>
    <w:rsid w:val="00BD0F2B"/>
    <w:rsid w:val="00BD29EF"/>
    <w:rsid w:val="00BD4300"/>
    <w:rsid w:val="00BE28D8"/>
    <w:rsid w:val="00BE379B"/>
    <w:rsid w:val="00BF2BCE"/>
    <w:rsid w:val="00C00762"/>
    <w:rsid w:val="00C05B41"/>
    <w:rsid w:val="00C068DB"/>
    <w:rsid w:val="00C07FF8"/>
    <w:rsid w:val="00C14F52"/>
    <w:rsid w:val="00C153DF"/>
    <w:rsid w:val="00C25F56"/>
    <w:rsid w:val="00C30408"/>
    <w:rsid w:val="00C335FE"/>
    <w:rsid w:val="00C3365A"/>
    <w:rsid w:val="00C36CC2"/>
    <w:rsid w:val="00C44A8F"/>
    <w:rsid w:val="00C46EEC"/>
    <w:rsid w:val="00C5538B"/>
    <w:rsid w:val="00C71212"/>
    <w:rsid w:val="00C82C06"/>
    <w:rsid w:val="00C866F7"/>
    <w:rsid w:val="00C87AFC"/>
    <w:rsid w:val="00C90AD7"/>
    <w:rsid w:val="00C94E0B"/>
    <w:rsid w:val="00C978CB"/>
    <w:rsid w:val="00CA0F50"/>
    <w:rsid w:val="00CA6785"/>
    <w:rsid w:val="00CC2512"/>
    <w:rsid w:val="00CC416B"/>
    <w:rsid w:val="00CD14D0"/>
    <w:rsid w:val="00CD409E"/>
    <w:rsid w:val="00D00C94"/>
    <w:rsid w:val="00D05ABC"/>
    <w:rsid w:val="00D1037C"/>
    <w:rsid w:val="00D137F7"/>
    <w:rsid w:val="00D1473D"/>
    <w:rsid w:val="00D201D5"/>
    <w:rsid w:val="00D258E9"/>
    <w:rsid w:val="00D33A2A"/>
    <w:rsid w:val="00D35718"/>
    <w:rsid w:val="00D40AC5"/>
    <w:rsid w:val="00D43B6D"/>
    <w:rsid w:val="00D51191"/>
    <w:rsid w:val="00D56177"/>
    <w:rsid w:val="00D60729"/>
    <w:rsid w:val="00D66F40"/>
    <w:rsid w:val="00D7198E"/>
    <w:rsid w:val="00D72079"/>
    <w:rsid w:val="00D744FA"/>
    <w:rsid w:val="00D8185C"/>
    <w:rsid w:val="00D8492B"/>
    <w:rsid w:val="00D8605F"/>
    <w:rsid w:val="00D8690A"/>
    <w:rsid w:val="00D96149"/>
    <w:rsid w:val="00DA36B9"/>
    <w:rsid w:val="00DA387D"/>
    <w:rsid w:val="00DA6014"/>
    <w:rsid w:val="00DA6CA7"/>
    <w:rsid w:val="00DB7158"/>
    <w:rsid w:val="00DC0DCD"/>
    <w:rsid w:val="00DC4447"/>
    <w:rsid w:val="00DC4641"/>
    <w:rsid w:val="00DC65B3"/>
    <w:rsid w:val="00DD0C75"/>
    <w:rsid w:val="00DD6727"/>
    <w:rsid w:val="00DF1738"/>
    <w:rsid w:val="00DF568B"/>
    <w:rsid w:val="00DF7A0C"/>
    <w:rsid w:val="00E052D5"/>
    <w:rsid w:val="00E072C0"/>
    <w:rsid w:val="00E07A3F"/>
    <w:rsid w:val="00E07EFB"/>
    <w:rsid w:val="00E11589"/>
    <w:rsid w:val="00E2022A"/>
    <w:rsid w:val="00E21E3C"/>
    <w:rsid w:val="00E271FD"/>
    <w:rsid w:val="00E32003"/>
    <w:rsid w:val="00E40457"/>
    <w:rsid w:val="00E47F45"/>
    <w:rsid w:val="00E549CF"/>
    <w:rsid w:val="00E562D0"/>
    <w:rsid w:val="00E60CC0"/>
    <w:rsid w:val="00E62766"/>
    <w:rsid w:val="00E70863"/>
    <w:rsid w:val="00E71C0D"/>
    <w:rsid w:val="00E725B6"/>
    <w:rsid w:val="00E7353D"/>
    <w:rsid w:val="00E766C6"/>
    <w:rsid w:val="00E80B5C"/>
    <w:rsid w:val="00E828F9"/>
    <w:rsid w:val="00E90C00"/>
    <w:rsid w:val="00EB20A7"/>
    <w:rsid w:val="00EB2281"/>
    <w:rsid w:val="00EC2402"/>
    <w:rsid w:val="00EC429B"/>
    <w:rsid w:val="00EC4FDB"/>
    <w:rsid w:val="00ED52F5"/>
    <w:rsid w:val="00ED5B9E"/>
    <w:rsid w:val="00EE0E6A"/>
    <w:rsid w:val="00EF11FF"/>
    <w:rsid w:val="00EF6FAB"/>
    <w:rsid w:val="00F1221F"/>
    <w:rsid w:val="00F1651D"/>
    <w:rsid w:val="00F24186"/>
    <w:rsid w:val="00F24A4E"/>
    <w:rsid w:val="00F25BCA"/>
    <w:rsid w:val="00F25F5F"/>
    <w:rsid w:val="00F316F1"/>
    <w:rsid w:val="00F436CE"/>
    <w:rsid w:val="00F45A4E"/>
    <w:rsid w:val="00F51D84"/>
    <w:rsid w:val="00F62141"/>
    <w:rsid w:val="00F67CCF"/>
    <w:rsid w:val="00F71BC1"/>
    <w:rsid w:val="00F82EF1"/>
    <w:rsid w:val="00F84D65"/>
    <w:rsid w:val="00F906D0"/>
    <w:rsid w:val="00F9394B"/>
    <w:rsid w:val="00FA4096"/>
    <w:rsid w:val="00FA58FD"/>
    <w:rsid w:val="00FB1139"/>
    <w:rsid w:val="00FB2965"/>
    <w:rsid w:val="00FC0DC5"/>
    <w:rsid w:val="00FC3EDE"/>
    <w:rsid w:val="00FD51D2"/>
    <w:rsid w:val="00FE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5:docId w15:val="{57918E2F-37FF-4660-9194-F0FD2693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3" w:uiPriority="9" w:qFormat="1"/>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AC5"/>
    <w:rPr>
      <w:sz w:val="22"/>
      <w:szCs w:val="22"/>
    </w:rPr>
  </w:style>
  <w:style w:type="paragraph" w:styleId="Heading1">
    <w:name w:val="heading 1"/>
    <w:basedOn w:val="Normal"/>
    <w:next w:val="Normal"/>
    <w:link w:val="Heading1Char"/>
    <w:qFormat/>
    <w:rsid w:val="00661AE5"/>
    <w:pPr>
      <w:keepNext/>
      <w:keepLines/>
      <w:pBdr>
        <w:bottom w:val="single" w:sz="4" w:space="1" w:color="003055" w:themeColor="text1"/>
      </w:pBdr>
      <w:tabs>
        <w:tab w:val="left" w:pos="4016"/>
      </w:tabs>
      <w:spacing w:before="480" w:after="120"/>
      <w:outlineLvl w:val="0"/>
    </w:pPr>
    <w:rPr>
      <w:rFonts w:ascii="Arial" w:eastAsiaTheme="majorEastAsia" w:hAnsi="Arial" w:cstheme="majorBidi"/>
      <w:b/>
      <w:bCs/>
      <w:caps/>
      <w:sz w:val="26"/>
      <w:szCs w:val="24"/>
    </w:rPr>
  </w:style>
  <w:style w:type="paragraph" w:styleId="Heading2">
    <w:name w:val="heading 2"/>
    <w:basedOn w:val="Normal"/>
    <w:next w:val="Normal"/>
    <w:link w:val="Heading2Char"/>
    <w:unhideWhenUsed/>
    <w:qFormat/>
    <w:rsid w:val="00687A9E"/>
    <w:pPr>
      <w:keepNext/>
      <w:keepLines/>
      <w:spacing w:before="360" w:after="120"/>
      <w:outlineLvl w:val="1"/>
    </w:pPr>
    <w:rPr>
      <w:rFonts w:ascii="Arial" w:eastAsiaTheme="majorEastAsia" w:hAnsi="Arial" w:cstheme="majorBidi"/>
      <w:bCs/>
      <w:caps/>
      <w:color w:val="005789" w:themeColor="accent1"/>
      <w:sz w:val="20"/>
      <w:szCs w:val="26"/>
    </w:rPr>
  </w:style>
  <w:style w:type="paragraph" w:styleId="Heading3">
    <w:name w:val="heading 3"/>
    <w:basedOn w:val="Normal"/>
    <w:link w:val="Heading3Char"/>
    <w:uiPriority w:val="9"/>
    <w:qFormat/>
    <w:rsid w:val="00635D16"/>
    <w:pPr>
      <w:spacing w:before="240" w:after="120"/>
      <w:outlineLvl w:val="2"/>
    </w:pPr>
    <w:rPr>
      <w:rFonts w:ascii="Arial" w:eastAsia="Times New Roman" w:hAnsi="Arial" w:cs="Tahoma"/>
      <w:b/>
      <w:color w:val="000000"/>
      <w:sz w:val="20"/>
      <w:szCs w:val="34"/>
    </w:rPr>
  </w:style>
  <w:style w:type="paragraph" w:styleId="Heading4">
    <w:name w:val="heading 4"/>
    <w:next w:val="Normal"/>
    <w:link w:val="Heading4Char"/>
    <w:uiPriority w:val="9"/>
    <w:unhideWhenUsed/>
    <w:qFormat/>
    <w:rsid w:val="00D00C94"/>
    <w:pPr>
      <w:keepNext/>
      <w:spacing w:before="240" w:after="60" w:line="240" w:lineRule="exact"/>
      <w:outlineLvl w:val="3"/>
    </w:pPr>
    <w:rPr>
      <w:rFonts w:asciiTheme="minorHAnsi" w:eastAsia="Times New Roman" w:hAnsiTheme="minorHAnsi"/>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820463"/>
    <w:rPr>
      <w:rFonts w:ascii="Tahoma" w:hAnsi="Tahoma" w:cs="Tahoma"/>
      <w:sz w:val="16"/>
      <w:szCs w:val="16"/>
    </w:rPr>
  </w:style>
  <w:style w:type="character" w:customStyle="1" w:styleId="BalloonTextChar">
    <w:name w:val="Balloon Text Char"/>
    <w:basedOn w:val="DefaultParagraphFont"/>
    <w:uiPriority w:val="99"/>
    <w:semiHidden/>
    <w:rsid w:val="00546C6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20463"/>
    <w:rPr>
      <w:rFonts w:ascii="Tahoma" w:hAnsi="Tahoma" w:cs="Tahoma"/>
      <w:sz w:val="16"/>
      <w:szCs w:val="16"/>
    </w:rPr>
  </w:style>
  <w:style w:type="paragraph" w:styleId="ListParagraph">
    <w:name w:val="List Paragraph"/>
    <w:basedOn w:val="Normal"/>
    <w:uiPriority w:val="34"/>
    <w:qFormat/>
    <w:rsid w:val="004F21A0"/>
    <w:pPr>
      <w:numPr>
        <w:numId w:val="1"/>
      </w:numPr>
      <w:contextualSpacing/>
    </w:pPr>
  </w:style>
  <w:style w:type="character" w:styleId="Hyperlink">
    <w:name w:val="Hyperlink"/>
    <w:basedOn w:val="DefaultParagraphFont"/>
    <w:unhideWhenUsed/>
    <w:rsid w:val="004F21A0"/>
    <w:rPr>
      <w:color w:val="005789" w:themeColor="accent1"/>
      <w:u w:val="none"/>
    </w:rPr>
  </w:style>
  <w:style w:type="character" w:styleId="FollowedHyperlink">
    <w:name w:val="FollowedHyperlink"/>
    <w:basedOn w:val="DefaultParagraphFont"/>
    <w:semiHidden/>
    <w:unhideWhenUsed/>
    <w:rsid w:val="00463F52"/>
    <w:rPr>
      <w:color w:val="800080"/>
      <w:u w:val="single"/>
    </w:rPr>
  </w:style>
  <w:style w:type="paragraph" w:styleId="NormalWeb">
    <w:name w:val="Normal (Web)"/>
    <w:basedOn w:val="Normal"/>
    <w:uiPriority w:val="99"/>
    <w:semiHidden/>
    <w:unhideWhenUsed/>
    <w:rsid w:val="000F0F0A"/>
    <w:pPr>
      <w:spacing w:before="100" w:beforeAutospacing="1" w:after="100" w:afterAutospacing="1"/>
    </w:pPr>
    <w:rPr>
      <w:rFonts w:eastAsia="Times New Roman"/>
      <w:sz w:val="24"/>
      <w:szCs w:val="24"/>
    </w:rPr>
  </w:style>
  <w:style w:type="paragraph" w:styleId="Header">
    <w:name w:val="header"/>
    <w:basedOn w:val="Normal"/>
    <w:link w:val="HeaderChar"/>
    <w:unhideWhenUsed/>
    <w:rsid w:val="001E22F1"/>
    <w:pPr>
      <w:tabs>
        <w:tab w:val="center" w:pos="4680"/>
        <w:tab w:val="right" w:pos="9360"/>
      </w:tabs>
    </w:pPr>
  </w:style>
  <w:style w:type="character" w:customStyle="1" w:styleId="HeaderChar">
    <w:name w:val="Header Char"/>
    <w:basedOn w:val="DefaultParagraphFont"/>
    <w:link w:val="Header"/>
    <w:uiPriority w:val="99"/>
    <w:rsid w:val="001E22F1"/>
    <w:rPr>
      <w:rFonts w:ascii="Calibri" w:hAnsi="Calibri"/>
      <w:sz w:val="22"/>
      <w:szCs w:val="22"/>
    </w:rPr>
  </w:style>
  <w:style w:type="paragraph" w:styleId="Footer">
    <w:name w:val="footer"/>
    <w:basedOn w:val="Normal"/>
    <w:link w:val="FooterChar"/>
    <w:unhideWhenUsed/>
    <w:rsid w:val="001E22F1"/>
    <w:pPr>
      <w:tabs>
        <w:tab w:val="center" w:pos="4680"/>
        <w:tab w:val="right" w:pos="9360"/>
      </w:tabs>
    </w:pPr>
  </w:style>
  <w:style w:type="character" w:customStyle="1" w:styleId="FooterChar">
    <w:name w:val="Footer Char"/>
    <w:basedOn w:val="DefaultParagraphFont"/>
    <w:link w:val="Footer"/>
    <w:uiPriority w:val="99"/>
    <w:rsid w:val="001E22F1"/>
    <w:rPr>
      <w:rFonts w:ascii="Calibri" w:hAnsi="Calibri"/>
      <w:sz w:val="22"/>
      <w:szCs w:val="22"/>
    </w:rPr>
  </w:style>
  <w:style w:type="character" w:styleId="CommentReference">
    <w:name w:val="annotation reference"/>
    <w:basedOn w:val="DefaultParagraphFont"/>
    <w:uiPriority w:val="99"/>
    <w:unhideWhenUsed/>
    <w:rsid w:val="0094517E"/>
    <w:rPr>
      <w:sz w:val="16"/>
      <w:szCs w:val="16"/>
    </w:rPr>
  </w:style>
  <w:style w:type="paragraph" w:styleId="CommentText">
    <w:name w:val="annotation text"/>
    <w:basedOn w:val="Normal"/>
    <w:link w:val="CommentTextChar"/>
    <w:uiPriority w:val="99"/>
    <w:unhideWhenUsed/>
    <w:rsid w:val="0094517E"/>
    <w:rPr>
      <w:sz w:val="20"/>
      <w:szCs w:val="20"/>
    </w:rPr>
  </w:style>
  <w:style w:type="character" w:customStyle="1" w:styleId="CommentTextChar">
    <w:name w:val="Comment Text Char"/>
    <w:basedOn w:val="DefaultParagraphFont"/>
    <w:link w:val="CommentText"/>
    <w:uiPriority w:val="99"/>
    <w:rsid w:val="0094517E"/>
    <w:rPr>
      <w:rFonts w:ascii="Calibri" w:hAnsi="Calibri"/>
    </w:rPr>
  </w:style>
  <w:style w:type="paragraph" w:styleId="CommentSubject">
    <w:name w:val="annotation subject"/>
    <w:basedOn w:val="CommentText"/>
    <w:next w:val="CommentText"/>
    <w:link w:val="CommentSubjectChar"/>
    <w:unhideWhenUsed/>
    <w:rsid w:val="0094517E"/>
    <w:rPr>
      <w:b/>
      <w:bCs/>
    </w:rPr>
  </w:style>
  <w:style w:type="character" w:customStyle="1" w:styleId="CommentSubjectChar">
    <w:name w:val="Comment Subject Char"/>
    <w:basedOn w:val="CommentTextChar"/>
    <w:link w:val="CommentSubject"/>
    <w:rsid w:val="0094517E"/>
    <w:rPr>
      <w:rFonts w:ascii="Calibri" w:hAnsi="Calibri"/>
      <w:b/>
      <w:bCs/>
    </w:rPr>
  </w:style>
  <w:style w:type="character" w:customStyle="1" w:styleId="Heading1Char">
    <w:name w:val="Heading 1 Char"/>
    <w:basedOn w:val="DefaultParagraphFont"/>
    <w:link w:val="Heading1"/>
    <w:rsid w:val="00661AE5"/>
    <w:rPr>
      <w:rFonts w:ascii="Arial" w:eastAsiaTheme="majorEastAsia" w:hAnsi="Arial" w:cstheme="majorBidi"/>
      <w:b/>
      <w:bCs/>
      <w:caps/>
      <w:sz w:val="26"/>
    </w:rPr>
  </w:style>
  <w:style w:type="character" w:customStyle="1" w:styleId="Heading2Char">
    <w:name w:val="Heading 2 Char"/>
    <w:basedOn w:val="DefaultParagraphFont"/>
    <w:link w:val="Heading2"/>
    <w:rsid w:val="00687A9E"/>
    <w:rPr>
      <w:rFonts w:ascii="Arial" w:eastAsiaTheme="majorEastAsia" w:hAnsi="Arial" w:cstheme="majorBidi"/>
      <w:bCs/>
      <w:caps/>
      <w:color w:val="005789" w:themeColor="accent1"/>
      <w:sz w:val="20"/>
      <w:szCs w:val="26"/>
    </w:rPr>
  </w:style>
  <w:style w:type="character" w:styleId="PageNumber">
    <w:name w:val="page number"/>
    <w:basedOn w:val="DefaultParagraphFont"/>
    <w:rsid w:val="0018425C"/>
  </w:style>
  <w:style w:type="character" w:customStyle="1" w:styleId="Heading3Char">
    <w:name w:val="Heading 3 Char"/>
    <w:basedOn w:val="DefaultParagraphFont"/>
    <w:link w:val="Heading3"/>
    <w:uiPriority w:val="9"/>
    <w:rsid w:val="00635D16"/>
    <w:rPr>
      <w:rFonts w:ascii="Arial" w:eastAsia="Times New Roman" w:hAnsi="Arial" w:cs="Tahoma"/>
      <w:b/>
      <w:color w:val="000000"/>
      <w:sz w:val="20"/>
      <w:szCs w:val="34"/>
    </w:rPr>
  </w:style>
  <w:style w:type="character" w:customStyle="1" w:styleId="Heading4Char">
    <w:name w:val="Heading 4 Char"/>
    <w:basedOn w:val="DefaultParagraphFont"/>
    <w:link w:val="Heading4"/>
    <w:uiPriority w:val="9"/>
    <w:rsid w:val="00D00C94"/>
    <w:rPr>
      <w:rFonts w:asciiTheme="minorHAnsi" w:eastAsia="Times New Roman" w:hAnsiTheme="minorHAnsi"/>
      <w:b/>
      <w:bCs/>
      <w:sz w:val="22"/>
      <w:szCs w:val="28"/>
    </w:rPr>
  </w:style>
  <w:style w:type="paragraph" w:customStyle="1" w:styleId="bullettedlisttext">
    <w:name w:val="bulletted list text"/>
    <w:basedOn w:val="Normal"/>
    <w:rsid w:val="000F3659"/>
    <w:pPr>
      <w:tabs>
        <w:tab w:val="num" w:pos="187"/>
      </w:tabs>
      <w:spacing w:line="240" w:lineRule="exact"/>
      <w:ind w:left="187" w:hanging="187"/>
    </w:pPr>
    <w:rPr>
      <w:rFonts w:eastAsia="Times New Roman"/>
      <w:sz w:val="18"/>
      <w:szCs w:val="24"/>
    </w:rPr>
  </w:style>
  <w:style w:type="table" w:styleId="TableGrid">
    <w:name w:val="Table Grid"/>
    <w:aliases w:val="Clutch Table"/>
    <w:basedOn w:val="TableNormal"/>
    <w:uiPriority w:val="39"/>
    <w:rsid w:val="000F3659"/>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0F3659"/>
    <w:pPr>
      <w:shd w:val="clear" w:color="auto" w:fill="000080"/>
      <w:spacing w:after="160" w:line="240" w:lineRule="exact"/>
    </w:pPr>
    <w:rPr>
      <w:rFonts w:ascii="Tahoma" w:eastAsia="Times New Roman" w:hAnsi="Tahoma" w:cs="Georgia"/>
      <w:sz w:val="20"/>
      <w:szCs w:val="20"/>
    </w:rPr>
  </w:style>
  <w:style w:type="character" w:customStyle="1" w:styleId="DocumentMapChar">
    <w:name w:val="Document Map Char"/>
    <w:basedOn w:val="DefaultParagraphFont"/>
    <w:link w:val="DocumentMap"/>
    <w:rsid w:val="000F3659"/>
    <w:rPr>
      <w:rFonts w:ascii="Tahoma" w:eastAsia="Times New Roman" w:hAnsi="Tahoma" w:cs="Georgia"/>
      <w:sz w:val="20"/>
      <w:szCs w:val="20"/>
      <w:shd w:val="clear" w:color="auto" w:fill="000080"/>
    </w:rPr>
  </w:style>
  <w:style w:type="paragraph" w:styleId="TOC1">
    <w:name w:val="toc 1"/>
    <w:basedOn w:val="Normal"/>
    <w:next w:val="Normal"/>
    <w:autoRedefine/>
    <w:rsid w:val="000F3659"/>
    <w:pPr>
      <w:spacing w:after="160" w:line="240" w:lineRule="exact"/>
    </w:pPr>
    <w:rPr>
      <w:rFonts w:ascii="Helvetica" w:eastAsia="Times New Roman" w:hAnsi="Helvetica"/>
      <w:sz w:val="18"/>
      <w:szCs w:val="24"/>
    </w:rPr>
  </w:style>
  <w:style w:type="paragraph" w:customStyle="1" w:styleId="StyleArialRightAfter0ptLinespacingsingle">
    <w:name w:val="Style Arial Right After:  0 pt Line spacing:  single"/>
    <w:basedOn w:val="Normal"/>
    <w:rsid w:val="000F3659"/>
    <w:pPr>
      <w:jc w:val="right"/>
    </w:pPr>
    <w:rPr>
      <w:rFonts w:ascii="Arial" w:eastAsia="Times New Roman" w:hAnsi="Arial"/>
      <w:sz w:val="18"/>
      <w:szCs w:val="20"/>
    </w:rPr>
  </w:style>
  <w:style w:type="paragraph" w:styleId="TOC2">
    <w:name w:val="toc 2"/>
    <w:basedOn w:val="Normal"/>
    <w:next w:val="Normal"/>
    <w:autoRedefine/>
    <w:rsid w:val="000F3659"/>
    <w:pPr>
      <w:spacing w:after="160" w:line="240" w:lineRule="exact"/>
      <w:ind w:left="180"/>
    </w:pPr>
    <w:rPr>
      <w:rFonts w:ascii="Helvetica" w:eastAsia="Times New Roman" w:hAnsi="Helvetica"/>
      <w:sz w:val="18"/>
      <w:szCs w:val="24"/>
    </w:rPr>
  </w:style>
  <w:style w:type="paragraph" w:styleId="TOC3">
    <w:name w:val="toc 3"/>
    <w:basedOn w:val="Normal"/>
    <w:next w:val="Normal"/>
    <w:autoRedefine/>
    <w:rsid w:val="000F3659"/>
    <w:pPr>
      <w:spacing w:after="160" w:line="240" w:lineRule="exact"/>
      <w:ind w:left="360"/>
    </w:pPr>
    <w:rPr>
      <w:rFonts w:ascii="Helvetica" w:eastAsia="Times New Roman" w:hAnsi="Helvetica"/>
      <w:sz w:val="18"/>
      <w:szCs w:val="24"/>
    </w:rPr>
  </w:style>
  <w:style w:type="paragraph" w:styleId="BodyTextIndent2">
    <w:name w:val="Body Text Indent 2"/>
    <w:basedOn w:val="Normal"/>
    <w:link w:val="BodyTextIndent2Char"/>
    <w:rsid w:val="000F3659"/>
    <w:pPr>
      <w:widowControl w:val="0"/>
      <w:spacing w:line="240" w:lineRule="atLeast"/>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0F3659"/>
    <w:rPr>
      <w:rFonts w:ascii="Arial" w:eastAsia="Times New Roman" w:hAnsi="Arial" w:cs="Arial"/>
      <w:sz w:val="20"/>
      <w:szCs w:val="20"/>
    </w:rPr>
  </w:style>
  <w:style w:type="paragraph" w:customStyle="1" w:styleId="bullet">
    <w:name w:val="bullet"/>
    <w:basedOn w:val="Normal"/>
    <w:rsid w:val="000F3659"/>
    <w:pPr>
      <w:spacing w:after="120" w:line="360" w:lineRule="auto"/>
      <w:ind w:left="360"/>
    </w:pPr>
    <w:rPr>
      <w:rFonts w:ascii="lutch\Word Templates" w:eastAsia="Times New Roman" w:hAnsi="lutch\Word Templates"/>
      <w:sz w:val="18"/>
      <w:szCs w:val="18"/>
    </w:rPr>
  </w:style>
  <w:style w:type="table" w:customStyle="1" w:styleId="NoteLevel31">
    <w:name w:val="Note Level 31"/>
    <w:basedOn w:val="TableNormal"/>
    <w:uiPriority w:val="60"/>
    <w:rsid w:val="000F3659"/>
    <w:rPr>
      <w:rFonts w:eastAsia="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0F3659"/>
    <w:rPr>
      <w:rFonts w:eastAsia="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0F3659"/>
    <w:rPr>
      <w:rFonts w:eastAsia="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NoteLevel41">
    <w:name w:val="Note Level 41"/>
    <w:basedOn w:val="TableNormal"/>
    <w:uiPriority w:val="61"/>
    <w:rsid w:val="000F3659"/>
    <w:rPr>
      <w:rFonts w:eastAsia="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NoteLevel91">
    <w:name w:val="Note Level 91"/>
    <w:basedOn w:val="TableNormal"/>
    <w:uiPriority w:val="66"/>
    <w:rsid w:val="000F3659"/>
    <w:rPr>
      <w:rFonts w:ascii="Cambria" w:eastAsia="Times New Roman" w:hAnsi="Cambria"/>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3055"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0F3659"/>
    <w:rPr>
      <w:rFonts w:eastAsia="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Emphasis">
    <w:name w:val="Emphasis"/>
    <w:basedOn w:val="DefaultParagraphFont"/>
    <w:uiPriority w:val="20"/>
    <w:qFormat/>
    <w:rsid w:val="000F3659"/>
    <w:rPr>
      <w:i/>
      <w:iCs/>
    </w:rPr>
  </w:style>
  <w:style w:type="paragraph" w:customStyle="1" w:styleId="small">
    <w:name w:val="small"/>
    <w:basedOn w:val="Normal"/>
    <w:rsid w:val="000F3659"/>
    <w:pPr>
      <w:tabs>
        <w:tab w:val="left" w:pos="180"/>
      </w:tabs>
      <w:spacing w:before="240" w:line="180" w:lineRule="exact"/>
    </w:pPr>
    <w:rPr>
      <w:rFonts w:ascii="Helvetica" w:eastAsia="Times New Roman" w:hAnsi="Helvetica"/>
      <w:color w:val="808080"/>
      <w:sz w:val="14"/>
      <w:szCs w:val="24"/>
    </w:rPr>
  </w:style>
  <w:style w:type="character" w:styleId="Strong">
    <w:name w:val="Strong"/>
    <w:basedOn w:val="DefaultParagraphFont"/>
    <w:uiPriority w:val="22"/>
    <w:qFormat/>
    <w:rsid w:val="000F3659"/>
    <w:rPr>
      <w:b/>
      <w:bCs/>
    </w:rPr>
  </w:style>
  <w:style w:type="paragraph" w:styleId="Quote">
    <w:name w:val="Quote"/>
    <w:basedOn w:val="Normal"/>
    <w:next w:val="Normal"/>
    <w:link w:val="QuoteChar"/>
    <w:uiPriority w:val="29"/>
    <w:qFormat/>
    <w:rsid w:val="007B1D32"/>
    <w:pPr>
      <w:spacing w:before="200" w:line="276" w:lineRule="auto"/>
      <w:ind w:left="360" w:right="360"/>
    </w:pPr>
    <w:rPr>
      <w:rFonts w:ascii="Arial" w:eastAsia="Times New Roman" w:hAnsi="Arial"/>
      <w:i/>
      <w:iCs/>
      <w:lang w:bidi="en-US"/>
    </w:rPr>
  </w:style>
  <w:style w:type="character" w:customStyle="1" w:styleId="QuoteChar">
    <w:name w:val="Quote Char"/>
    <w:basedOn w:val="DefaultParagraphFont"/>
    <w:link w:val="Quote"/>
    <w:uiPriority w:val="29"/>
    <w:rsid w:val="007B1D32"/>
    <w:rPr>
      <w:rFonts w:ascii="Arial" w:eastAsia="Times New Roman" w:hAnsi="Arial"/>
      <w:i/>
      <w:iCs/>
      <w:sz w:val="22"/>
      <w:szCs w:val="22"/>
      <w:lang w:bidi="en-US"/>
    </w:rPr>
  </w:style>
  <w:style w:type="table" w:styleId="MediumShading1-Accent6">
    <w:name w:val="Medium Shading 1 Accent 6"/>
    <w:basedOn w:val="TableNormal"/>
    <w:uiPriority w:val="63"/>
    <w:rsid w:val="000F3659"/>
    <w:rPr>
      <w:rFonts w:eastAsia="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1">
    <w:name w:val="Medium Shading 1"/>
    <w:basedOn w:val="TableNormal"/>
    <w:uiPriority w:val="63"/>
    <w:rsid w:val="000F3659"/>
    <w:rPr>
      <w:rFonts w:eastAsia="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List4">
    <w:name w:val="Table List 4"/>
    <w:basedOn w:val="TableNormal"/>
    <w:rsid w:val="000F3659"/>
    <w:pPr>
      <w:spacing w:after="160" w:line="240" w:lineRule="exact"/>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Grid1-Accent6">
    <w:name w:val="Medium Grid 1 Accent 6"/>
    <w:basedOn w:val="TableNormal"/>
    <w:uiPriority w:val="67"/>
    <w:rsid w:val="000F3659"/>
    <w:rPr>
      <w:rFonts w:eastAsia="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TableList6">
    <w:name w:val="Table List 6"/>
    <w:basedOn w:val="TableNormal"/>
    <w:rsid w:val="000F3659"/>
    <w:pPr>
      <w:spacing w:after="160" w:line="240" w:lineRule="exact"/>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TGAppendixBodyHeaders">
    <w:name w:val="TG_Appendix Body (Headers)"/>
    <w:basedOn w:val="Normal"/>
    <w:uiPriority w:val="99"/>
    <w:rsid w:val="00A46A0C"/>
    <w:pPr>
      <w:widowControl w:val="0"/>
      <w:tabs>
        <w:tab w:val="left" w:pos="720"/>
      </w:tabs>
      <w:suppressAutoHyphens/>
      <w:autoSpaceDE w:val="0"/>
      <w:autoSpaceDN w:val="0"/>
      <w:adjustRightInd w:val="0"/>
      <w:spacing w:line="180" w:lineRule="atLeast"/>
      <w:textAlignment w:val="center"/>
    </w:pPr>
    <w:rPr>
      <w:rFonts w:ascii="GothamNarrow-Book" w:hAnsi="GothamNarrow-Book" w:cs="GothamNarrow-Book"/>
      <w:color w:val="000000"/>
      <w:sz w:val="16"/>
      <w:szCs w:val="16"/>
    </w:rPr>
  </w:style>
  <w:style w:type="paragraph" w:styleId="FootnoteText">
    <w:name w:val="footnote text"/>
    <w:basedOn w:val="Normal"/>
    <w:link w:val="FootnoteTextChar"/>
    <w:uiPriority w:val="99"/>
    <w:semiHidden/>
    <w:unhideWhenUsed/>
    <w:rsid w:val="00D8605F"/>
    <w:rPr>
      <w:sz w:val="20"/>
      <w:szCs w:val="20"/>
    </w:rPr>
  </w:style>
  <w:style w:type="character" w:customStyle="1" w:styleId="FootnoteTextChar">
    <w:name w:val="Footnote Text Char"/>
    <w:basedOn w:val="DefaultParagraphFont"/>
    <w:link w:val="FootnoteText"/>
    <w:uiPriority w:val="99"/>
    <w:semiHidden/>
    <w:rsid w:val="00D8605F"/>
    <w:rPr>
      <w:sz w:val="20"/>
      <w:szCs w:val="20"/>
    </w:rPr>
  </w:style>
  <w:style w:type="character" w:styleId="FootnoteReference">
    <w:name w:val="footnote reference"/>
    <w:basedOn w:val="DefaultParagraphFont"/>
    <w:uiPriority w:val="99"/>
    <w:semiHidden/>
    <w:unhideWhenUsed/>
    <w:rsid w:val="00D8605F"/>
    <w:rPr>
      <w:vertAlign w:val="superscript"/>
    </w:rPr>
  </w:style>
  <w:style w:type="paragraph" w:styleId="EndnoteText">
    <w:name w:val="endnote text"/>
    <w:basedOn w:val="Normal"/>
    <w:link w:val="EndnoteTextChar"/>
    <w:uiPriority w:val="99"/>
    <w:semiHidden/>
    <w:unhideWhenUsed/>
    <w:rsid w:val="0030193E"/>
    <w:rPr>
      <w:sz w:val="20"/>
      <w:szCs w:val="20"/>
    </w:rPr>
  </w:style>
  <w:style w:type="character" w:customStyle="1" w:styleId="EndnoteTextChar">
    <w:name w:val="Endnote Text Char"/>
    <w:basedOn w:val="DefaultParagraphFont"/>
    <w:link w:val="EndnoteText"/>
    <w:uiPriority w:val="99"/>
    <w:semiHidden/>
    <w:rsid w:val="0030193E"/>
    <w:rPr>
      <w:sz w:val="20"/>
      <w:szCs w:val="20"/>
    </w:rPr>
  </w:style>
  <w:style w:type="character" w:styleId="EndnoteReference">
    <w:name w:val="endnote reference"/>
    <w:basedOn w:val="DefaultParagraphFont"/>
    <w:uiPriority w:val="99"/>
    <w:semiHidden/>
    <w:unhideWhenUsed/>
    <w:rsid w:val="0030193E"/>
    <w:rPr>
      <w:vertAlign w:val="superscript"/>
    </w:rPr>
  </w:style>
  <w:style w:type="paragraph" w:styleId="Revision">
    <w:name w:val="Revision"/>
    <w:hidden/>
    <w:semiHidden/>
    <w:rsid w:val="005303B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27349">
      <w:bodyDiv w:val="1"/>
      <w:marLeft w:val="0"/>
      <w:marRight w:val="0"/>
      <w:marTop w:val="0"/>
      <w:marBottom w:val="0"/>
      <w:divBdr>
        <w:top w:val="none" w:sz="0" w:space="0" w:color="auto"/>
        <w:left w:val="none" w:sz="0" w:space="0" w:color="auto"/>
        <w:bottom w:val="none" w:sz="0" w:space="0" w:color="auto"/>
        <w:right w:val="none" w:sz="0" w:space="0" w:color="auto"/>
      </w:divBdr>
    </w:div>
    <w:div w:id="46917658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2067757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Partnership">
  <a:themeElements>
    <a:clrScheme name="Custom 2">
      <a:dk1>
        <a:srgbClr val="003055"/>
      </a:dk1>
      <a:lt1>
        <a:srgbClr val="FFFFFF"/>
      </a:lt1>
      <a:dk2>
        <a:srgbClr val="8B8D8E"/>
      </a:dk2>
      <a:lt2>
        <a:srgbClr val="FFFFFF"/>
      </a:lt2>
      <a:accent1>
        <a:srgbClr val="005789"/>
      </a:accent1>
      <a:accent2>
        <a:srgbClr val="E6B222"/>
      </a:accent2>
      <a:accent3>
        <a:srgbClr val="598527"/>
      </a:accent3>
      <a:accent4>
        <a:srgbClr val="CA6C2C"/>
      </a:accent4>
      <a:accent5>
        <a:srgbClr val="6292AE"/>
      </a:accent5>
      <a:accent6>
        <a:srgbClr val="E8CD60"/>
      </a:accent6>
      <a:hlink>
        <a:srgbClr val="DAA476"/>
      </a:hlink>
      <a:folHlink>
        <a:srgbClr val="91A776"/>
      </a:folHlink>
    </a:clrScheme>
    <a:fontScheme name="PPS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4C684480217243B59C7DF3DD1081A4" ma:contentTypeVersion="3" ma:contentTypeDescription="Create a new document." ma:contentTypeScope="" ma:versionID="c8e5c2571faed5a9006685f7f76aaef4">
  <xsd:schema xmlns:xsd="http://www.w3.org/2001/XMLSchema" xmlns:p="http://schemas.microsoft.com/office/2006/metadata/properties" xmlns:ns2="f40142b5-dc02-4243-bb57-e360fa066623" targetNamespace="http://schemas.microsoft.com/office/2006/metadata/properties" ma:root="true" ma:fieldsID="df4a72216f1ead08c3a006ee560feae7" ns2:_="">
    <xsd:import namespace="f40142b5-dc02-4243-bb57-e360fa066623"/>
    <xsd:element name="properties">
      <xsd:complexType>
        <xsd:sequence>
          <xsd:element name="documentManagement">
            <xsd:complexType>
              <xsd:all>
                <xsd:element ref="ns2:Target_x0020_Audiences" minOccurs="0"/>
              </xsd:all>
            </xsd:complexType>
          </xsd:element>
        </xsd:sequence>
      </xsd:complexType>
    </xsd:element>
  </xsd:schema>
  <xsd:schema xmlns:xsd="http://www.w3.org/2001/XMLSchema" xmlns:dms="http://schemas.microsoft.com/office/2006/documentManagement/types" targetNamespace="f40142b5-dc02-4243-bb57-e360fa066623" elementFormDefault="qualified">
    <xsd:import namespace="http://schemas.microsoft.com/office/2006/documentManagement/types"/>
    <xsd:element name="Target_x0020_Audiences" ma:index="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rget_x0020_Audiences xmlns="f40142b5-dc02-4243-bb57-e360fa0666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FEDC-F2DD-46B8-9901-E348B3D7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42b5-dc02-4243-bb57-e360fa06662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779089F-841C-4977-A267-76252DC3B5C4}">
  <ds:schemaRefs>
    <ds:schemaRef ds:uri="http://schemas.microsoft.com/sharepoint/v3/contenttype/forms"/>
  </ds:schemaRefs>
</ds:datastoreItem>
</file>

<file path=customXml/itemProps3.xml><?xml version="1.0" encoding="utf-8"?>
<ds:datastoreItem xmlns:ds="http://schemas.openxmlformats.org/officeDocument/2006/customXml" ds:itemID="{D9D23816-8B46-4404-B97C-F42799AF71D2}">
  <ds:schemaRefs>
    <ds:schemaRef ds:uri="http://schemas.microsoft.com/office/2006/metadata/properties"/>
    <ds:schemaRef ds:uri="f40142b5-dc02-4243-bb57-e360fa066623"/>
  </ds:schemaRefs>
</ds:datastoreItem>
</file>

<file path=customXml/itemProps4.xml><?xml version="1.0" encoding="utf-8"?>
<ds:datastoreItem xmlns:ds="http://schemas.openxmlformats.org/officeDocument/2006/customXml" ds:itemID="{6CA414E1-D767-4DAC-9A54-DDC7D4EE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Update title in document properties</vt:lpstr>
    </vt:vector>
  </TitlesOfParts>
  <Company>Federal Trade Commission</Company>
  <LinksUpToDate>false</LinksUpToDate>
  <CharactersWithSpaces>5244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title in document properties</dc:title>
  <dc:creator>PARTNERSHIP FOR PUBLIC SERVICE</dc:creator>
  <cp:lastModifiedBy>Casey Dennison</cp:lastModifiedBy>
  <cp:revision>6</cp:revision>
  <cp:lastPrinted>2016-07-12T18:00:00Z</cp:lastPrinted>
  <dcterms:created xsi:type="dcterms:W3CDTF">2017-02-17T16:27:00Z</dcterms:created>
  <dcterms:modified xsi:type="dcterms:W3CDTF">2017-08-23T19:07:00Z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0x010100D84C684480217243B59C7DF3DD1081A4</vt:lpwstr>
  </property>
</Properties>
</file>